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ind w:firstLine="560" w:firstLineChars="200"/>
        <w:jc w:val="left"/>
        <w:rPr>
          <w:rFonts w:ascii="黑体" w:hAnsi="黑体" w:eastAsia="黑体"/>
          <w:sz w:val="28"/>
          <w:szCs w:val="28"/>
        </w:rPr>
      </w:pPr>
      <w:r>
        <w:rPr>
          <w:rFonts w:hint="eastAsia" w:ascii="黑体" w:hAnsi="黑体" w:eastAsia="黑体"/>
          <w:sz w:val="28"/>
          <w:szCs w:val="28"/>
        </w:rPr>
        <w:t>一、交易信息</w:t>
      </w:r>
    </w:p>
    <w:tbl>
      <w:tblPr>
        <w:tblStyle w:val="6"/>
        <w:tblW w:w="10338" w:type="dxa"/>
        <w:tblInd w:w="178"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28"/>
        <w:gridCol w:w="3593"/>
        <w:gridCol w:w="1767"/>
        <w:gridCol w:w="325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172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textAlignment w:val="auto"/>
              <w:rPr>
                <w:b/>
              </w:rPr>
            </w:pPr>
            <w:r>
              <w:rPr>
                <w:rFonts w:hint="eastAsia"/>
                <w:b/>
              </w:rPr>
              <w:t>交易单位</w:t>
            </w:r>
          </w:p>
        </w:tc>
        <w:tc>
          <w:tcPr>
            <w:tcW w:w="359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textAlignment w:val="auto"/>
              <w:rPr>
                <w:rFonts w:hint="default" w:eastAsia="仿宋"/>
                <w:lang w:val="en-US" w:eastAsia="zh-CN"/>
              </w:rPr>
            </w:pPr>
            <w:bookmarkStart w:id="0" w:name="OLE_LINK4"/>
            <w:r>
              <w:rPr>
                <w:rFonts w:hint="eastAsia"/>
              </w:rPr>
              <w:t>延安</w:t>
            </w:r>
            <w:bookmarkEnd w:id="0"/>
            <w:r>
              <w:rPr>
                <w:rFonts w:hint="eastAsia"/>
                <w:lang w:val="en-US" w:eastAsia="zh-CN"/>
              </w:rPr>
              <w:t>能源产品经销有限责任公司</w:t>
            </w:r>
          </w:p>
        </w:tc>
        <w:tc>
          <w:tcPr>
            <w:tcW w:w="176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textAlignment w:val="auto"/>
              <w:rPr>
                <w:b/>
              </w:rPr>
            </w:pPr>
            <w:r>
              <w:rPr>
                <w:rFonts w:hint="eastAsia"/>
                <w:b/>
              </w:rPr>
              <w:t>交易日期</w:t>
            </w:r>
          </w:p>
        </w:tc>
        <w:tc>
          <w:tcPr>
            <w:tcW w:w="32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textAlignment w:val="auto"/>
              <w:rPr>
                <w:rFonts w:hint="eastAsia" w:eastAsia="仿宋"/>
                <w:lang w:eastAsia="zh-CN"/>
              </w:rPr>
            </w:pPr>
            <w:r>
              <w:rPr>
                <w:rFonts w:hint="eastAsia"/>
                <w:lang w:eastAsia="zh-CN"/>
              </w:rPr>
              <w:t>202</w:t>
            </w:r>
            <w:r>
              <w:rPr>
                <w:rFonts w:hint="eastAsia"/>
                <w:lang w:val="en-US" w:eastAsia="zh-CN"/>
              </w:rPr>
              <w:t>6</w:t>
            </w:r>
            <w:r>
              <w:rPr>
                <w:rFonts w:hint="eastAsia"/>
                <w:lang w:eastAsia="zh-CN"/>
              </w:rPr>
              <w:t>年</w:t>
            </w:r>
            <w:r>
              <w:rPr>
                <w:rFonts w:hint="eastAsia"/>
                <w:lang w:val="en-US" w:eastAsia="zh-CN"/>
              </w:rPr>
              <w:t>1</w:t>
            </w:r>
            <w:r>
              <w:rPr>
                <w:rFonts w:hint="eastAsia"/>
                <w:lang w:eastAsia="zh-CN"/>
              </w:rPr>
              <w:t>月</w:t>
            </w:r>
            <w:r>
              <w:rPr>
                <w:rFonts w:hint="eastAsia"/>
                <w:lang w:val="en-US" w:eastAsia="zh-CN"/>
              </w:rPr>
              <w:t>8</w:t>
            </w:r>
            <w:r>
              <w:rPr>
                <w:rFonts w:hint="eastAsia"/>
                <w:lang w:eastAsia="zh-CN"/>
              </w:rPr>
              <w:t>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172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textAlignment w:val="auto"/>
              <w:rPr>
                <w:b/>
              </w:rPr>
            </w:pPr>
            <w:r>
              <w:rPr>
                <w:rFonts w:hint="eastAsia"/>
                <w:b/>
              </w:rPr>
              <w:t>矿    区</w:t>
            </w:r>
          </w:p>
        </w:tc>
        <w:tc>
          <w:tcPr>
            <w:tcW w:w="359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textAlignment w:val="auto"/>
              <w:rPr>
                <w:rFonts w:hint="default" w:eastAsia="仿宋"/>
                <w:lang w:val="en-US" w:eastAsia="zh-CN"/>
              </w:rPr>
            </w:pPr>
            <w:r>
              <w:rPr>
                <w:rFonts w:hint="eastAsia"/>
                <w:lang w:val="en-US" w:eastAsia="zh-CN"/>
              </w:rPr>
              <w:t>红石岩煤矿</w:t>
            </w:r>
          </w:p>
        </w:tc>
        <w:tc>
          <w:tcPr>
            <w:tcW w:w="176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textAlignment w:val="auto"/>
              <w:rPr>
                <w:b/>
              </w:rPr>
            </w:pPr>
            <w:r>
              <w:rPr>
                <w:rFonts w:hint="eastAsia"/>
                <w:b/>
              </w:rPr>
              <w:t>交 货 地</w:t>
            </w:r>
          </w:p>
        </w:tc>
        <w:tc>
          <w:tcPr>
            <w:tcW w:w="32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textAlignment w:val="auto"/>
              <w:rPr>
                <w:rFonts w:hint="eastAsia" w:eastAsia="仿宋"/>
                <w:lang w:val="en-US" w:eastAsia="zh-CN"/>
              </w:rPr>
            </w:pPr>
            <w:r>
              <w:rPr>
                <w:rFonts w:hint="eastAsia"/>
                <w:lang w:val="en-US" w:eastAsia="zh-CN"/>
              </w:rPr>
              <w:t>红石岩</w:t>
            </w:r>
            <w:r>
              <w:rPr>
                <w:rFonts w:hint="eastAsia"/>
              </w:rPr>
              <w:t>煤矿</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172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textAlignment w:val="auto"/>
              <w:rPr>
                <w:b/>
              </w:rPr>
            </w:pPr>
            <w:r>
              <w:rPr>
                <w:rFonts w:hint="eastAsia"/>
                <w:b/>
              </w:rPr>
              <w:t>交易总量</w:t>
            </w:r>
          </w:p>
        </w:tc>
        <w:tc>
          <w:tcPr>
            <w:tcW w:w="359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textAlignment w:val="auto"/>
            </w:pPr>
            <w:r>
              <w:rPr>
                <w:rFonts w:hint="eastAsia"/>
                <w:lang w:val="en-US" w:eastAsia="zh-CN"/>
              </w:rPr>
              <w:t>2000</w:t>
            </w:r>
            <w:r>
              <w:rPr>
                <w:rFonts w:hint="eastAsia"/>
              </w:rPr>
              <w:t>吨</w:t>
            </w:r>
          </w:p>
        </w:tc>
        <w:tc>
          <w:tcPr>
            <w:tcW w:w="176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textAlignment w:val="auto"/>
              <w:rPr>
                <w:b/>
              </w:rPr>
            </w:pPr>
            <w:r>
              <w:rPr>
                <w:rFonts w:hint="eastAsia"/>
                <w:b/>
              </w:rPr>
              <w:t>运输方式</w:t>
            </w:r>
          </w:p>
        </w:tc>
        <w:tc>
          <w:tcPr>
            <w:tcW w:w="32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textAlignment w:val="auto"/>
              <w:rPr>
                <w:rFonts w:hint="eastAsia" w:eastAsia="仿宋"/>
                <w:lang w:val="en-US" w:eastAsia="zh-CN"/>
              </w:rPr>
            </w:pPr>
            <w:r>
              <w:rPr>
                <w:rFonts w:hint="eastAsia"/>
                <w:lang w:val="en-US" w:eastAsia="zh-CN"/>
              </w:rPr>
              <w:t>公路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172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textAlignment w:val="auto"/>
              <w:rPr>
                <w:b/>
              </w:rPr>
            </w:pPr>
            <w:r>
              <w:rPr>
                <w:rFonts w:hint="eastAsia"/>
                <w:b/>
              </w:rPr>
              <w:t>交易时间</w:t>
            </w:r>
          </w:p>
        </w:tc>
        <w:tc>
          <w:tcPr>
            <w:tcW w:w="3593" w:type="dxa"/>
            <w:tcBorders>
              <w:tl2br w:val="nil"/>
              <w:tr2bl w:val="nil"/>
            </w:tcBorders>
            <w:vAlign w:val="center"/>
          </w:tcPr>
          <w:p>
            <w:pPr>
              <w:keepNext w:val="0"/>
              <w:keepLines w:val="0"/>
              <w:pageBreakBefore w:val="0"/>
              <w:widowControl w:val="0"/>
              <w:numPr>
                <w:ilvl w:val="0"/>
                <w:numId w:val="0"/>
              </w:numPr>
              <w:kinsoku/>
              <w:wordWrap/>
              <w:overflowPunct/>
              <w:topLinePunct w:val="0"/>
              <w:autoSpaceDE/>
              <w:autoSpaceDN/>
              <w:bidi w:val="0"/>
              <w:adjustRightInd/>
              <w:snapToGrid w:val="0"/>
              <w:spacing w:line="300" w:lineRule="exact"/>
              <w:ind w:leftChars="0"/>
              <w:jc w:val="center"/>
              <w:textAlignment w:val="auto"/>
              <w:rPr>
                <w:rFonts w:hint="default" w:eastAsia="仿宋"/>
                <w:lang w:val="en-US" w:eastAsia="zh-CN"/>
              </w:rPr>
            </w:pPr>
            <w:r>
              <w:rPr>
                <w:rFonts w:hint="eastAsia"/>
                <w:lang w:val="en-US" w:eastAsia="zh-CN"/>
              </w:rPr>
              <w:t>9</w:t>
            </w:r>
            <w:r>
              <w:rPr>
                <w:rFonts w:hint="eastAsia"/>
              </w:rPr>
              <w:t>:</w:t>
            </w:r>
            <w:r>
              <w:rPr>
                <w:rFonts w:hint="eastAsia"/>
                <w:lang w:val="en-US" w:eastAsia="zh-CN"/>
              </w:rPr>
              <w:t>00-9</w:t>
            </w:r>
            <w:r>
              <w:rPr>
                <w:rFonts w:hint="eastAsia"/>
              </w:rPr>
              <w:t>:</w:t>
            </w:r>
            <w:r>
              <w:rPr>
                <w:rFonts w:hint="eastAsia"/>
                <w:lang w:val="en-US" w:eastAsia="zh-CN"/>
              </w:rPr>
              <w:t>20</w:t>
            </w:r>
          </w:p>
        </w:tc>
        <w:tc>
          <w:tcPr>
            <w:tcW w:w="176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textAlignment w:val="auto"/>
              <w:rPr>
                <w:b/>
              </w:rPr>
            </w:pPr>
            <w:r>
              <w:rPr>
                <w:rFonts w:hint="eastAsia"/>
                <w:b/>
              </w:rPr>
              <w:t>销售/采购</w:t>
            </w:r>
          </w:p>
        </w:tc>
        <w:tc>
          <w:tcPr>
            <w:tcW w:w="32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textAlignment w:val="auto"/>
            </w:pPr>
            <w:r>
              <w:rPr>
                <w:rFonts w:hint="eastAsia"/>
              </w:rPr>
              <w:t>销售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172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textAlignment w:val="auto"/>
              <w:rPr>
                <w:b/>
              </w:rPr>
            </w:pPr>
            <w:r>
              <w:rPr>
                <w:rFonts w:hint="eastAsia"/>
                <w:b/>
              </w:rPr>
              <w:t>交易模式</w:t>
            </w:r>
          </w:p>
        </w:tc>
        <w:tc>
          <w:tcPr>
            <w:tcW w:w="359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textAlignment w:val="auto"/>
            </w:pPr>
            <w:r>
              <w:rPr>
                <w:rFonts w:hint="eastAsia"/>
              </w:rPr>
              <w:t>竞价</w:t>
            </w:r>
          </w:p>
        </w:tc>
        <w:tc>
          <w:tcPr>
            <w:tcW w:w="176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textAlignment w:val="auto"/>
              <w:rPr>
                <w:b/>
              </w:rPr>
            </w:pPr>
            <w:r>
              <w:rPr>
                <w:rFonts w:hint="eastAsia"/>
                <w:b/>
              </w:rPr>
              <w:t>公开/专场</w:t>
            </w:r>
          </w:p>
        </w:tc>
        <w:tc>
          <w:tcPr>
            <w:tcW w:w="32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textAlignment w:val="auto"/>
            </w:pPr>
            <w:r>
              <w:rPr>
                <w:rFonts w:hint="eastAsia"/>
              </w:rPr>
              <w:t>公开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172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jc w:val="center"/>
              <w:textAlignment w:val="auto"/>
              <w:rPr>
                <w:b/>
              </w:rPr>
            </w:pPr>
            <w:r>
              <w:rPr>
                <w:rFonts w:hint="eastAsia"/>
                <w:b/>
              </w:rPr>
              <w:t>交易保证金</w:t>
            </w:r>
          </w:p>
        </w:tc>
        <w:tc>
          <w:tcPr>
            <w:tcW w:w="3593"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jc w:val="center"/>
              <w:textAlignment w:val="auto"/>
              <w:rPr>
                <w:rFonts w:hint="default"/>
                <w:lang w:val="en-US" w:eastAsia="zh-CN"/>
              </w:rPr>
            </w:pPr>
            <w:r>
              <w:rPr>
                <w:rFonts w:hint="eastAsia"/>
                <w:lang w:val="en-US" w:eastAsia="zh-CN"/>
              </w:rPr>
              <w:t>5万元/包</w:t>
            </w:r>
          </w:p>
        </w:tc>
        <w:tc>
          <w:tcPr>
            <w:tcW w:w="176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jc w:val="center"/>
              <w:textAlignment w:val="auto"/>
              <w:rPr>
                <w:b/>
              </w:rPr>
            </w:pPr>
            <w:r>
              <w:rPr>
                <w:rFonts w:hint="eastAsia"/>
                <w:b/>
              </w:rPr>
              <w:t>履约保证金</w:t>
            </w:r>
          </w:p>
        </w:tc>
        <w:tc>
          <w:tcPr>
            <w:tcW w:w="32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jc w:val="center"/>
              <w:textAlignment w:val="auto"/>
              <w:rPr>
                <w:rFonts w:hint="eastAsia"/>
                <w:lang w:val="en-US" w:eastAsia="zh-CN"/>
              </w:rPr>
            </w:pPr>
            <w:r>
              <w:rPr>
                <w:rFonts w:hint="eastAsia"/>
                <w:lang w:val="en-US" w:eastAsia="zh-CN"/>
              </w:rPr>
              <w:t>5万元/包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172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textAlignment w:val="auto"/>
              <w:rPr>
                <w:b/>
              </w:rPr>
            </w:pPr>
            <w:r>
              <w:rPr>
                <w:rFonts w:hint="eastAsia"/>
                <w:b/>
              </w:rPr>
              <w:t>交货周期</w:t>
            </w:r>
          </w:p>
        </w:tc>
        <w:tc>
          <w:tcPr>
            <w:tcW w:w="8610" w:type="dxa"/>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left="0" w:leftChars="0" w:firstLine="1200" w:firstLineChars="500"/>
              <w:jc w:val="left"/>
              <w:textAlignment w:val="auto"/>
              <w:rPr>
                <w:rFonts w:hint="eastAsia"/>
              </w:rPr>
            </w:pPr>
            <w:r>
              <w:rPr>
                <w:rFonts w:hint="eastAsia"/>
              </w:rPr>
              <w:t>202</w:t>
            </w:r>
            <w:r>
              <w:rPr>
                <w:rFonts w:hint="eastAsia"/>
                <w:lang w:val="en-US" w:eastAsia="zh-CN"/>
              </w:rPr>
              <w:t>6</w:t>
            </w:r>
            <w:r>
              <w:rPr>
                <w:rFonts w:hint="eastAsia"/>
              </w:rPr>
              <w:t>年</w:t>
            </w:r>
            <w:r>
              <w:rPr>
                <w:rFonts w:hint="eastAsia"/>
                <w:lang w:val="en-US" w:eastAsia="zh-CN"/>
              </w:rPr>
              <w:t>1</w:t>
            </w:r>
            <w:r>
              <w:rPr>
                <w:rFonts w:hint="eastAsia"/>
              </w:rPr>
              <w:t>月</w:t>
            </w:r>
            <w:r>
              <w:rPr>
                <w:rFonts w:hint="eastAsia"/>
                <w:lang w:val="en-US" w:eastAsia="zh-CN"/>
              </w:rPr>
              <w:t>8</w:t>
            </w:r>
            <w:r>
              <w:rPr>
                <w:rFonts w:hint="eastAsia"/>
              </w:rPr>
              <w:t>日</w:t>
            </w:r>
            <w:r>
              <w:rPr>
                <w:rFonts w:hint="eastAsia"/>
                <w:lang w:val="en-US" w:eastAsia="zh-CN"/>
              </w:rPr>
              <w:t xml:space="preserve"> </w:t>
            </w:r>
            <w:r>
              <w:rPr>
                <w:rFonts w:hint="eastAsia"/>
              </w:rPr>
              <w:t>止：202</w:t>
            </w:r>
            <w:r>
              <w:rPr>
                <w:rFonts w:hint="eastAsia"/>
                <w:lang w:val="en-US" w:eastAsia="zh-CN"/>
              </w:rPr>
              <w:t>6</w:t>
            </w:r>
            <w:r>
              <w:rPr>
                <w:rFonts w:hint="eastAsia"/>
              </w:rPr>
              <w:t>年</w:t>
            </w:r>
            <w:r>
              <w:rPr>
                <w:rFonts w:hint="eastAsia"/>
                <w:lang w:val="en-US" w:eastAsia="zh-CN"/>
              </w:rPr>
              <w:t>1</w:t>
            </w:r>
            <w:r>
              <w:rPr>
                <w:rFonts w:hint="eastAsia"/>
              </w:rPr>
              <w:t>月</w:t>
            </w:r>
            <w:r>
              <w:rPr>
                <w:rFonts w:hint="eastAsia"/>
                <w:lang w:val="en-US" w:eastAsia="zh-CN"/>
              </w:rPr>
              <w:t>14</w:t>
            </w:r>
            <w:r>
              <w:rPr>
                <w:rFonts w:hint="eastAsia"/>
              </w:rPr>
              <w:t>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172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0" w:firstLineChars="0"/>
              <w:textAlignment w:val="auto"/>
              <w:rPr>
                <w:b/>
              </w:rPr>
            </w:pPr>
            <w:r>
              <w:rPr>
                <w:rFonts w:hint="eastAsia"/>
                <w:b/>
              </w:rPr>
              <w:t>参与方式</w:t>
            </w:r>
          </w:p>
        </w:tc>
        <w:tc>
          <w:tcPr>
            <w:tcW w:w="8610" w:type="dxa"/>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300" w:lineRule="exact"/>
              <w:ind w:firstLine="1200" w:firstLineChars="500"/>
              <w:jc w:val="both"/>
              <w:textAlignment w:val="auto"/>
            </w:pPr>
            <w:r>
              <w:rPr>
                <w:rFonts w:hint="eastAsia"/>
              </w:rPr>
              <w:t>西煤交易客户端</w:t>
            </w:r>
          </w:p>
        </w:tc>
      </w:tr>
    </w:tbl>
    <w:p>
      <w:pPr>
        <w:spacing w:line="560" w:lineRule="exact"/>
        <w:ind w:firstLine="560" w:firstLineChars="200"/>
        <w:jc w:val="left"/>
        <w:rPr>
          <w:rFonts w:ascii="黑体" w:hAnsi="黑体" w:eastAsia="黑体"/>
          <w:sz w:val="28"/>
          <w:szCs w:val="28"/>
        </w:rPr>
      </w:pPr>
      <w:r>
        <w:rPr>
          <w:rFonts w:hint="eastAsia" w:ascii="黑体" w:hAnsi="黑体" w:eastAsia="黑体"/>
          <w:sz w:val="28"/>
          <w:szCs w:val="28"/>
        </w:rPr>
        <w:t>二、商品信息</w:t>
      </w:r>
    </w:p>
    <w:tbl>
      <w:tblPr>
        <w:tblStyle w:val="5"/>
        <w:tblW w:w="10349" w:type="dxa"/>
        <w:tblInd w:w="166"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971"/>
        <w:gridCol w:w="1023"/>
        <w:gridCol w:w="1061"/>
        <w:gridCol w:w="2028"/>
        <w:gridCol w:w="1229"/>
        <w:gridCol w:w="303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1971" w:type="dxa"/>
            <w:tcBorders>
              <w:tl2br w:val="nil"/>
              <w:tr2bl w:val="nil"/>
            </w:tcBorders>
            <w:shd w:val="clear" w:color="auto" w:fill="auto"/>
            <w:noWrap/>
            <w:vAlign w:val="center"/>
          </w:tcPr>
          <w:p>
            <w:pPr>
              <w:ind w:firstLine="0" w:firstLineChars="0"/>
              <w:rPr>
                <w:b/>
              </w:rPr>
            </w:pPr>
            <w:r>
              <w:rPr>
                <w:rFonts w:hint="eastAsia"/>
                <w:b/>
              </w:rPr>
              <w:t>场次</w:t>
            </w:r>
          </w:p>
        </w:tc>
        <w:tc>
          <w:tcPr>
            <w:tcW w:w="1023" w:type="dxa"/>
            <w:tcBorders>
              <w:tl2br w:val="nil"/>
              <w:tr2bl w:val="nil"/>
            </w:tcBorders>
            <w:shd w:val="clear" w:color="auto" w:fill="auto"/>
            <w:noWrap/>
            <w:vAlign w:val="center"/>
          </w:tcPr>
          <w:p>
            <w:pPr>
              <w:ind w:firstLine="0" w:firstLineChars="0"/>
              <w:rPr>
                <w:b/>
              </w:rPr>
            </w:pPr>
            <w:r>
              <w:rPr>
                <w:rFonts w:hint="eastAsia"/>
                <w:b/>
              </w:rPr>
              <w:t>煤矿</w:t>
            </w:r>
          </w:p>
        </w:tc>
        <w:tc>
          <w:tcPr>
            <w:tcW w:w="1061" w:type="dxa"/>
            <w:tcBorders>
              <w:tl2br w:val="nil"/>
              <w:tr2bl w:val="nil"/>
            </w:tcBorders>
            <w:shd w:val="clear" w:color="auto" w:fill="auto"/>
            <w:noWrap/>
            <w:vAlign w:val="center"/>
          </w:tcPr>
          <w:p>
            <w:pPr>
              <w:ind w:firstLine="0" w:firstLineChars="0"/>
              <w:rPr>
                <w:b/>
              </w:rPr>
            </w:pPr>
            <w:r>
              <w:rPr>
                <w:rFonts w:hint="eastAsia"/>
                <w:b/>
              </w:rPr>
              <w:t>品种</w:t>
            </w:r>
          </w:p>
        </w:tc>
        <w:tc>
          <w:tcPr>
            <w:tcW w:w="2028" w:type="dxa"/>
            <w:tcBorders>
              <w:tl2br w:val="nil"/>
              <w:tr2bl w:val="nil"/>
            </w:tcBorders>
            <w:shd w:val="clear" w:color="auto" w:fill="auto"/>
            <w:vAlign w:val="center"/>
          </w:tcPr>
          <w:p>
            <w:pPr>
              <w:ind w:firstLine="0" w:firstLineChars="0"/>
              <w:rPr>
                <w:b/>
              </w:rPr>
            </w:pPr>
            <w:r>
              <w:rPr>
                <w:rFonts w:hint="eastAsia"/>
                <w:b/>
              </w:rPr>
              <w:t>交易量</w:t>
            </w:r>
          </w:p>
          <w:p>
            <w:pPr>
              <w:ind w:firstLine="0" w:firstLineChars="0"/>
              <w:rPr>
                <w:b/>
              </w:rPr>
            </w:pPr>
            <w:r>
              <w:rPr>
                <w:rFonts w:hint="eastAsia"/>
                <w:b/>
              </w:rPr>
              <w:t>（吨）</w:t>
            </w:r>
          </w:p>
        </w:tc>
        <w:tc>
          <w:tcPr>
            <w:tcW w:w="1229" w:type="dxa"/>
            <w:tcBorders>
              <w:tl2br w:val="nil"/>
              <w:tr2bl w:val="nil"/>
            </w:tcBorders>
            <w:shd w:val="clear" w:color="auto" w:fill="auto"/>
            <w:vAlign w:val="center"/>
          </w:tcPr>
          <w:p>
            <w:pPr>
              <w:ind w:firstLine="0" w:firstLineChars="0"/>
              <w:rPr>
                <w:b/>
              </w:rPr>
            </w:pPr>
            <w:r>
              <w:rPr>
                <w:rFonts w:hint="eastAsia"/>
                <w:b/>
              </w:rPr>
              <w:t>起拍价</w:t>
            </w:r>
          </w:p>
          <w:p>
            <w:pPr>
              <w:ind w:firstLine="0" w:firstLineChars="0"/>
              <w:rPr>
                <w:b/>
              </w:rPr>
            </w:pPr>
            <w:r>
              <w:rPr>
                <w:rFonts w:hint="eastAsia"/>
                <w:b/>
              </w:rPr>
              <w:t>（元/吨）</w:t>
            </w:r>
          </w:p>
        </w:tc>
        <w:tc>
          <w:tcPr>
            <w:tcW w:w="3037" w:type="dxa"/>
            <w:tcBorders>
              <w:tl2br w:val="nil"/>
              <w:tr2bl w:val="nil"/>
            </w:tcBorders>
            <w:shd w:val="clear" w:color="auto" w:fill="auto"/>
            <w:noWrap/>
            <w:vAlign w:val="center"/>
          </w:tcPr>
          <w:p>
            <w:pPr>
              <w:ind w:firstLine="0" w:firstLineChars="0"/>
              <w:rPr>
                <w:b/>
              </w:rPr>
            </w:pPr>
            <w:r>
              <w:rPr>
                <w:rFonts w:hint="eastAsia"/>
                <w:b/>
              </w:rPr>
              <w:t>质量指标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4" w:hRule="atLeast"/>
        </w:trPr>
        <w:tc>
          <w:tcPr>
            <w:tcW w:w="1971" w:type="dxa"/>
            <w:vMerge w:val="restart"/>
            <w:tcBorders>
              <w:tl2br w:val="nil"/>
              <w:tr2bl w:val="nil"/>
            </w:tcBorders>
            <w:shd w:val="clear" w:color="auto" w:fill="auto"/>
            <w:vAlign w:val="center"/>
          </w:tcPr>
          <w:p>
            <w:pPr>
              <w:numPr>
                <w:ilvl w:val="0"/>
                <w:numId w:val="0"/>
              </w:numPr>
              <w:ind w:left="0" w:leftChars="0" w:firstLine="240" w:firstLineChars="100"/>
              <w:jc w:val="both"/>
              <w:rPr>
                <w:rFonts w:hint="default" w:eastAsia="仿宋"/>
                <w:lang w:val="en-US" w:eastAsia="zh-CN"/>
              </w:rPr>
            </w:pPr>
            <w:r>
              <w:rPr>
                <w:rFonts w:hint="eastAsia"/>
                <w:lang w:val="en-US" w:eastAsia="zh-CN"/>
              </w:rPr>
              <w:t>9:00-9:20</w:t>
            </w:r>
          </w:p>
          <w:p>
            <w:pPr>
              <w:numPr>
                <w:ilvl w:val="0"/>
                <w:numId w:val="0"/>
              </w:numPr>
              <w:ind w:left="0" w:leftChars="0" w:firstLine="0" w:firstLineChars="0"/>
              <w:jc w:val="center"/>
              <w:rPr>
                <w:rFonts w:ascii="仿宋" w:hAnsi="仿宋" w:eastAsia="仿宋" w:cs="仿宋"/>
                <w:kern w:val="2"/>
                <w:sz w:val="24"/>
                <w:szCs w:val="24"/>
                <w:lang w:val="en-US" w:eastAsia="zh-CN" w:bidi="ar-SA"/>
              </w:rPr>
            </w:pPr>
            <w:r>
              <w:rPr>
                <w:rFonts w:hint="eastAsia"/>
              </w:rPr>
              <w:t>（</w:t>
            </w:r>
            <w:r>
              <w:rPr>
                <w:rFonts w:hint="eastAsia"/>
                <w:lang w:val="en-US" w:eastAsia="zh-CN"/>
              </w:rPr>
              <w:t>9:05</w:t>
            </w:r>
            <w:r>
              <w:rPr>
                <w:rFonts w:hint="eastAsia"/>
              </w:rPr>
              <w:t>倒计时</w:t>
            </w:r>
            <w:r>
              <w:rPr>
                <w:rFonts w:hint="eastAsia"/>
                <w:lang w:eastAsia="zh-CN"/>
              </w:rPr>
              <w:t>）</w:t>
            </w:r>
          </w:p>
        </w:tc>
        <w:tc>
          <w:tcPr>
            <w:tcW w:w="1023" w:type="dxa"/>
            <w:vMerge w:val="restart"/>
            <w:tcBorders>
              <w:tl2br w:val="nil"/>
              <w:tr2bl w:val="nil"/>
            </w:tcBorders>
            <w:shd w:val="clear" w:color="auto" w:fill="auto"/>
            <w:vAlign w:val="center"/>
          </w:tcPr>
          <w:p>
            <w:pPr>
              <w:numPr>
                <w:ilvl w:val="0"/>
                <w:numId w:val="0"/>
              </w:numPr>
              <w:ind w:left="0" w:leftChars="0" w:firstLine="0" w:firstLineChars="0"/>
              <w:jc w:val="center"/>
              <w:rPr>
                <w:rFonts w:hint="default" w:ascii="仿宋" w:hAnsi="仿宋" w:eastAsia="仿宋" w:cs="仿宋"/>
                <w:color w:val="000000"/>
                <w:kern w:val="2"/>
                <w:sz w:val="24"/>
                <w:szCs w:val="24"/>
                <w:lang w:val="en-US" w:eastAsia="zh-CN" w:bidi="ar-SA"/>
              </w:rPr>
            </w:pPr>
            <w:r>
              <w:rPr>
                <w:rFonts w:hint="eastAsia"/>
                <w:lang w:val="en-US" w:eastAsia="zh-CN"/>
              </w:rPr>
              <w:t>红石岩</w:t>
            </w:r>
            <w:r>
              <w:rPr>
                <w:rFonts w:hint="eastAsia"/>
              </w:rPr>
              <w:t>煤矿</w:t>
            </w:r>
          </w:p>
        </w:tc>
        <w:tc>
          <w:tcPr>
            <w:tcW w:w="1061" w:type="dxa"/>
            <w:vMerge w:val="restart"/>
            <w:tcBorders>
              <w:tl2br w:val="nil"/>
              <w:tr2bl w:val="nil"/>
            </w:tcBorders>
            <w:shd w:val="clear" w:color="auto" w:fill="auto"/>
            <w:vAlign w:val="center"/>
          </w:tcPr>
          <w:p>
            <w:pPr>
              <w:numPr>
                <w:ilvl w:val="0"/>
                <w:numId w:val="0"/>
              </w:numPr>
              <w:ind w:left="0" w:leftChars="0" w:firstLine="0" w:firstLineChars="0"/>
              <w:jc w:val="center"/>
              <w:rPr>
                <w:rFonts w:hint="default" w:ascii="仿宋" w:hAnsi="仿宋" w:eastAsia="仿宋" w:cs="仿宋"/>
                <w:kern w:val="2"/>
                <w:sz w:val="24"/>
                <w:szCs w:val="24"/>
                <w:lang w:val="en-US" w:eastAsia="zh-CN" w:bidi="ar-SA"/>
              </w:rPr>
            </w:pPr>
            <w:r>
              <w:rPr>
                <w:rFonts w:hint="eastAsia"/>
                <w:lang w:val="en-US" w:eastAsia="zh-CN"/>
              </w:rPr>
              <w:t>掘进煤</w:t>
            </w:r>
          </w:p>
        </w:tc>
        <w:tc>
          <w:tcPr>
            <w:tcW w:w="2028" w:type="dxa"/>
            <w:vMerge w:val="restart"/>
            <w:tcBorders>
              <w:tl2br w:val="nil"/>
              <w:tr2bl w:val="nil"/>
            </w:tcBorders>
            <w:shd w:val="clear" w:color="auto" w:fill="auto"/>
            <w:vAlign w:val="center"/>
          </w:tcPr>
          <w:p>
            <w:pPr>
              <w:numPr>
                <w:ilvl w:val="0"/>
                <w:numId w:val="0"/>
              </w:numPr>
              <w:ind w:leftChars="0"/>
              <w:jc w:val="center"/>
              <w:rPr>
                <w:rFonts w:hint="eastAsia"/>
                <w:lang w:val="en-US" w:eastAsia="zh-CN"/>
              </w:rPr>
            </w:pPr>
          </w:p>
          <w:p>
            <w:pPr>
              <w:numPr>
                <w:ilvl w:val="0"/>
                <w:numId w:val="0"/>
              </w:numPr>
              <w:ind w:leftChars="0"/>
              <w:jc w:val="center"/>
              <w:rPr>
                <w:rFonts w:hint="eastAsia"/>
                <w:lang w:val="en-US" w:eastAsia="zh-CN"/>
              </w:rPr>
            </w:pPr>
            <w:r>
              <w:rPr>
                <w:rFonts w:hint="eastAsia"/>
                <w:lang w:val="en-US" w:eastAsia="zh-CN"/>
              </w:rPr>
              <w:t>2</w:t>
            </w:r>
            <w:r>
              <w:rPr>
                <w:rFonts w:hint="default"/>
                <w:lang w:val="en-US" w:eastAsia="zh-CN"/>
              </w:rPr>
              <w:t>0</w:t>
            </w:r>
            <w:r>
              <w:rPr>
                <w:rFonts w:hint="eastAsia"/>
                <w:lang w:val="en-US" w:eastAsia="zh-CN"/>
              </w:rPr>
              <w:t>00吨</w:t>
            </w:r>
          </w:p>
          <w:p>
            <w:pPr>
              <w:numPr>
                <w:ilvl w:val="0"/>
                <w:numId w:val="0"/>
              </w:numPr>
              <w:ind w:left="0" w:leftChars="0" w:firstLine="0" w:firstLineChars="0"/>
              <w:jc w:val="center"/>
              <w:rPr>
                <w:rFonts w:hint="eastAsia"/>
                <w:lang w:val="en-US" w:eastAsia="zh-CN"/>
              </w:rPr>
            </w:pPr>
            <w:r>
              <w:rPr>
                <w:rFonts w:hint="eastAsia"/>
                <w:lang w:val="en-US" w:eastAsia="zh-CN"/>
              </w:rPr>
              <w:t>（2000*1）</w:t>
            </w:r>
          </w:p>
          <w:p>
            <w:pPr>
              <w:numPr>
                <w:ilvl w:val="0"/>
                <w:numId w:val="0"/>
              </w:numPr>
              <w:ind w:left="0" w:leftChars="0" w:firstLine="0" w:firstLineChars="0"/>
              <w:jc w:val="center"/>
              <w:rPr>
                <w:rFonts w:hint="eastAsia" w:ascii="仿宋" w:hAnsi="仿宋" w:eastAsia="仿宋" w:cs="仿宋"/>
                <w:kern w:val="2"/>
                <w:sz w:val="24"/>
                <w:szCs w:val="24"/>
                <w:lang w:val="en-US" w:eastAsia="zh-CN"/>
              </w:rPr>
            </w:pPr>
          </w:p>
        </w:tc>
        <w:tc>
          <w:tcPr>
            <w:tcW w:w="1229" w:type="dxa"/>
            <w:vMerge w:val="restart"/>
            <w:tcBorders>
              <w:tl2br w:val="nil"/>
              <w:tr2bl w:val="nil"/>
            </w:tcBorders>
            <w:shd w:val="clear" w:color="auto" w:fill="auto"/>
            <w:vAlign w:val="center"/>
          </w:tcPr>
          <w:p>
            <w:pPr>
              <w:numPr>
                <w:ilvl w:val="0"/>
                <w:numId w:val="0"/>
              </w:numPr>
              <w:ind w:left="0" w:leftChars="0" w:firstLine="0" w:firstLineChars="0"/>
              <w:jc w:val="center"/>
              <w:rPr>
                <w:rFonts w:hint="default" w:ascii="仿宋" w:hAnsi="仿宋" w:eastAsia="仿宋" w:cs="仿宋"/>
                <w:kern w:val="2"/>
                <w:sz w:val="24"/>
                <w:szCs w:val="24"/>
                <w:lang w:val="en-US" w:eastAsia="zh-CN" w:bidi="ar-SA"/>
              </w:rPr>
            </w:pPr>
            <w:r>
              <w:rPr>
                <w:rFonts w:hint="eastAsia" w:cs="仿宋"/>
                <w:kern w:val="2"/>
                <w:sz w:val="24"/>
                <w:szCs w:val="24"/>
                <w:lang w:val="en-US" w:eastAsia="zh-CN" w:bidi="ar-SA"/>
              </w:rPr>
              <w:t>150</w:t>
            </w:r>
          </w:p>
        </w:tc>
        <w:tc>
          <w:tcPr>
            <w:tcW w:w="3037" w:type="dxa"/>
            <w:tcBorders>
              <w:tl2br w:val="nil"/>
              <w:tr2bl w:val="nil"/>
            </w:tcBorders>
            <w:shd w:val="clear" w:color="auto" w:fill="auto"/>
            <w:noWrap/>
            <w:vAlign w:val="center"/>
          </w:tcPr>
          <w:p>
            <w:pPr>
              <w:ind w:firstLine="0" w:firstLineChars="0"/>
              <w:jc w:val="left"/>
              <w:rPr>
                <w:rFonts w:hint="eastAsia" w:ascii="仿宋" w:hAnsi="仿宋" w:eastAsia="仿宋" w:cs="仿宋"/>
                <w:kern w:val="2"/>
                <w:sz w:val="24"/>
                <w:szCs w:val="24"/>
                <w:lang w:val="en-US" w:eastAsia="zh-CN" w:bidi="ar-SA"/>
              </w:rPr>
            </w:pPr>
            <w:r>
              <w:rPr>
                <w:rFonts w:hint="eastAsia"/>
                <w:lang w:val="en-US" w:eastAsia="zh-CN"/>
              </w:rPr>
              <w:t>发热量：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1971" w:type="dxa"/>
            <w:vMerge w:val="continue"/>
            <w:tcBorders>
              <w:tl2br w:val="nil"/>
              <w:tr2bl w:val="nil"/>
            </w:tcBorders>
            <w:shd w:val="clear" w:color="auto" w:fill="auto"/>
          </w:tcPr>
          <w:p>
            <w:pPr>
              <w:ind w:firstLine="240" w:firstLineChars="100"/>
            </w:pPr>
          </w:p>
        </w:tc>
        <w:tc>
          <w:tcPr>
            <w:tcW w:w="1023" w:type="dxa"/>
            <w:vMerge w:val="continue"/>
            <w:tcBorders>
              <w:tl2br w:val="nil"/>
              <w:tr2bl w:val="nil"/>
            </w:tcBorders>
            <w:shd w:val="clear" w:color="auto" w:fill="auto"/>
            <w:vAlign w:val="center"/>
          </w:tcPr>
          <w:p>
            <w:pPr>
              <w:ind w:firstLine="240" w:firstLineChars="100"/>
              <w:jc w:val="center"/>
            </w:pPr>
          </w:p>
        </w:tc>
        <w:tc>
          <w:tcPr>
            <w:tcW w:w="1061" w:type="dxa"/>
            <w:vMerge w:val="continue"/>
            <w:tcBorders>
              <w:tl2br w:val="nil"/>
              <w:tr2bl w:val="nil"/>
            </w:tcBorders>
            <w:shd w:val="clear" w:color="auto" w:fill="auto"/>
            <w:vAlign w:val="center"/>
          </w:tcPr>
          <w:p>
            <w:pPr>
              <w:ind w:firstLine="240" w:firstLineChars="100"/>
              <w:jc w:val="center"/>
            </w:pPr>
          </w:p>
        </w:tc>
        <w:tc>
          <w:tcPr>
            <w:tcW w:w="2028" w:type="dxa"/>
            <w:vMerge w:val="continue"/>
            <w:tcBorders>
              <w:tl2br w:val="nil"/>
              <w:tr2bl w:val="nil"/>
            </w:tcBorders>
            <w:shd w:val="clear" w:color="auto" w:fill="auto"/>
            <w:vAlign w:val="center"/>
          </w:tcPr>
          <w:p>
            <w:pPr>
              <w:ind w:firstLine="240" w:firstLineChars="100"/>
              <w:jc w:val="center"/>
            </w:pPr>
          </w:p>
        </w:tc>
        <w:tc>
          <w:tcPr>
            <w:tcW w:w="1229" w:type="dxa"/>
            <w:vMerge w:val="continue"/>
            <w:tcBorders>
              <w:tl2br w:val="nil"/>
              <w:tr2bl w:val="nil"/>
            </w:tcBorders>
            <w:shd w:val="clear" w:color="auto" w:fill="auto"/>
            <w:vAlign w:val="center"/>
          </w:tcPr>
          <w:p>
            <w:pPr>
              <w:ind w:firstLine="240" w:firstLineChars="100"/>
              <w:jc w:val="center"/>
            </w:pPr>
          </w:p>
        </w:tc>
        <w:tc>
          <w:tcPr>
            <w:tcW w:w="3037" w:type="dxa"/>
            <w:tcBorders>
              <w:tl2br w:val="nil"/>
              <w:tr2bl w:val="nil"/>
            </w:tcBorders>
            <w:shd w:val="clear" w:color="auto" w:fill="auto"/>
            <w:noWrap/>
            <w:vAlign w:val="center"/>
          </w:tcPr>
          <w:p>
            <w:pPr>
              <w:ind w:firstLine="0" w:firstLineChars="0"/>
              <w:jc w:val="left"/>
              <w:rPr>
                <w:rFonts w:hint="eastAsia" w:ascii="仿宋" w:hAnsi="仿宋" w:eastAsia="仿宋" w:cs="仿宋"/>
                <w:kern w:val="2"/>
                <w:sz w:val="24"/>
                <w:szCs w:val="24"/>
                <w:lang w:val="en-US" w:eastAsia="zh-CN" w:bidi="ar-SA"/>
              </w:rPr>
            </w:pPr>
            <w:r>
              <w:rPr>
                <w:rFonts w:hint="eastAsia"/>
              </w:rPr>
              <w:t>灰分（Ad%）：</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1971" w:type="dxa"/>
            <w:vMerge w:val="continue"/>
            <w:tcBorders>
              <w:tl2br w:val="nil"/>
              <w:tr2bl w:val="nil"/>
            </w:tcBorders>
            <w:shd w:val="clear" w:color="auto" w:fill="auto"/>
          </w:tcPr>
          <w:p>
            <w:pPr>
              <w:ind w:firstLine="240" w:firstLineChars="100"/>
            </w:pPr>
          </w:p>
        </w:tc>
        <w:tc>
          <w:tcPr>
            <w:tcW w:w="1023" w:type="dxa"/>
            <w:vMerge w:val="continue"/>
            <w:tcBorders>
              <w:tl2br w:val="nil"/>
              <w:tr2bl w:val="nil"/>
            </w:tcBorders>
            <w:shd w:val="clear" w:color="auto" w:fill="auto"/>
            <w:vAlign w:val="center"/>
          </w:tcPr>
          <w:p>
            <w:pPr>
              <w:ind w:firstLine="240" w:firstLineChars="100"/>
              <w:jc w:val="center"/>
            </w:pPr>
          </w:p>
        </w:tc>
        <w:tc>
          <w:tcPr>
            <w:tcW w:w="1061" w:type="dxa"/>
            <w:vMerge w:val="continue"/>
            <w:tcBorders>
              <w:tl2br w:val="nil"/>
              <w:tr2bl w:val="nil"/>
            </w:tcBorders>
            <w:shd w:val="clear" w:color="auto" w:fill="auto"/>
            <w:vAlign w:val="center"/>
          </w:tcPr>
          <w:p>
            <w:pPr>
              <w:ind w:firstLine="240" w:firstLineChars="100"/>
              <w:jc w:val="center"/>
            </w:pPr>
          </w:p>
        </w:tc>
        <w:tc>
          <w:tcPr>
            <w:tcW w:w="2028" w:type="dxa"/>
            <w:vMerge w:val="continue"/>
            <w:tcBorders>
              <w:tl2br w:val="nil"/>
              <w:tr2bl w:val="nil"/>
            </w:tcBorders>
            <w:shd w:val="clear" w:color="auto" w:fill="auto"/>
            <w:vAlign w:val="center"/>
          </w:tcPr>
          <w:p>
            <w:pPr>
              <w:ind w:firstLine="240" w:firstLineChars="100"/>
              <w:jc w:val="center"/>
            </w:pPr>
          </w:p>
        </w:tc>
        <w:tc>
          <w:tcPr>
            <w:tcW w:w="1229" w:type="dxa"/>
            <w:vMerge w:val="continue"/>
            <w:tcBorders>
              <w:tl2br w:val="nil"/>
              <w:tr2bl w:val="nil"/>
            </w:tcBorders>
            <w:shd w:val="clear" w:color="auto" w:fill="auto"/>
            <w:vAlign w:val="center"/>
          </w:tcPr>
          <w:p>
            <w:pPr>
              <w:ind w:firstLine="240" w:firstLineChars="100"/>
              <w:jc w:val="center"/>
            </w:pPr>
          </w:p>
        </w:tc>
        <w:tc>
          <w:tcPr>
            <w:tcW w:w="3037" w:type="dxa"/>
            <w:tcBorders>
              <w:tl2br w:val="nil"/>
              <w:tr2bl w:val="nil"/>
            </w:tcBorders>
            <w:shd w:val="clear" w:color="auto" w:fill="auto"/>
            <w:noWrap/>
            <w:vAlign w:val="center"/>
          </w:tcPr>
          <w:p>
            <w:pPr>
              <w:ind w:firstLine="0" w:firstLineChars="0"/>
              <w:jc w:val="left"/>
              <w:rPr>
                <w:rFonts w:hint="eastAsia" w:ascii="仿宋" w:hAnsi="仿宋" w:eastAsia="仿宋" w:cs="仿宋"/>
                <w:kern w:val="2"/>
                <w:sz w:val="24"/>
                <w:szCs w:val="24"/>
                <w:lang w:val="en-US" w:eastAsia="zh-CN" w:bidi="ar-SA"/>
              </w:rPr>
            </w:pPr>
            <w:r>
              <w:rPr>
                <w:rFonts w:hint="eastAsia"/>
              </w:rPr>
              <w:t>硫分（St,d%）：</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1971" w:type="dxa"/>
            <w:vMerge w:val="continue"/>
            <w:tcBorders>
              <w:tl2br w:val="nil"/>
              <w:tr2bl w:val="nil"/>
            </w:tcBorders>
            <w:shd w:val="clear" w:color="auto" w:fill="auto"/>
          </w:tcPr>
          <w:p>
            <w:pPr>
              <w:ind w:firstLine="240" w:firstLineChars="100"/>
            </w:pPr>
          </w:p>
        </w:tc>
        <w:tc>
          <w:tcPr>
            <w:tcW w:w="1023" w:type="dxa"/>
            <w:vMerge w:val="continue"/>
            <w:tcBorders>
              <w:tl2br w:val="nil"/>
              <w:tr2bl w:val="nil"/>
            </w:tcBorders>
            <w:shd w:val="clear" w:color="auto" w:fill="auto"/>
            <w:vAlign w:val="center"/>
          </w:tcPr>
          <w:p>
            <w:pPr>
              <w:ind w:firstLine="240" w:firstLineChars="100"/>
              <w:jc w:val="center"/>
            </w:pPr>
          </w:p>
        </w:tc>
        <w:tc>
          <w:tcPr>
            <w:tcW w:w="1061" w:type="dxa"/>
            <w:vMerge w:val="continue"/>
            <w:tcBorders>
              <w:tl2br w:val="nil"/>
              <w:tr2bl w:val="nil"/>
            </w:tcBorders>
            <w:shd w:val="clear" w:color="auto" w:fill="auto"/>
            <w:vAlign w:val="center"/>
          </w:tcPr>
          <w:p>
            <w:pPr>
              <w:ind w:firstLine="240" w:firstLineChars="100"/>
              <w:jc w:val="center"/>
            </w:pPr>
          </w:p>
        </w:tc>
        <w:tc>
          <w:tcPr>
            <w:tcW w:w="2028" w:type="dxa"/>
            <w:vMerge w:val="continue"/>
            <w:tcBorders>
              <w:tl2br w:val="nil"/>
              <w:tr2bl w:val="nil"/>
            </w:tcBorders>
            <w:shd w:val="clear" w:color="auto" w:fill="auto"/>
            <w:vAlign w:val="center"/>
          </w:tcPr>
          <w:p>
            <w:pPr>
              <w:ind w:firstLine="240" w:firstLineChars="100"/>
              <w:jc w:val="center"/>
            </w:pPr>
          </w:p>
        </w:tc>
        <w:tc>
          <w:tcPr>
            <w:tcW w:w="1229" w:type="dxa"/>
            <w:vMerge w:val="continue"/>
            <w:tcBorders>
              <w:tl2br w:val="nil"/>
              <w:tr2bl w:val="nil"/>
            </w:tcBorders>
            <w:shd w:val="clear" w:color="auto" w:fill="auto"/>
            <w:vAlign w:val="center"/>
          </w:tcPr>
          <w:p>
            <w:pPr>
              <w:ind w:firstLine="240" w:firstLineChars="100"/>
              <w:jc w:val="center"/>
            </w:pPr>
          </w:p>
        </w:tc>
        <w:tc>
          <w:tcPr>
            <w:tcW w:w="3037" w:type="dxa"/>
            <w:tcBorders>
              <w:tl2br w:val="nil"/>
              <w:tr2bl w:val="nil"/>
            </w:tcBorders>
            <w:shd w:val="clear" w:color="auto" w:fill="auto"/>
            <w:noWrap/>
            <w:vAlign w:val="center"/>
          </w:tcPr>
          <w:p>
            <w:pPr>
              <w:ind w:firstLine="0" w:firstLineChars="0"/>
              <w:jc w:val="left"/>
              <w:rPr>
                <w:rFonts w:hint="eastAsia" w:ascii="仿宋" w:hAnsi="仿宋" w:eastAsia="仿宋" w:cs="仿宋"/>
                <w:kern w:val="2"/>
                <w:sz w:val="24"/>
                <w:szCs w:val="24"/>
                <w:lang w:val="en-US" w:eastAsia="zh-CN" w:bidi="ar-SA"/>
              </w:rPr>
            </w:pPr>
            <w:r>
              <w:rPr>
                <w:rFonts w:hint="eastAsia"/>
                <w:lang w:val="en-US" w:eastAsia="zh-CN"/>
              </w:rPr>
              <w:t>水分</w:t>
            </w:r>
            <w:r>
              <w:rPr>
                <w:rFonts w:hint="eastAsia"/>
              </w:rP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1971" w:type="dxa"/>
            <w:vMerge w:val="continue"/>
            <w:tcBorders>
              <w:tl2br w:val="nil"/>
              <w:tr2bl w:val="nil"/>
            </w:tcBorders>
            <w:shd w:val="clear" w:color="auto" w:fill="auto"/>
          </w:tcPr>
          <w:p>
            <w:pPr>
              <w:ind w:firstLine="240" w:firstLineChars="100"/>
            </w:pPr>
          </w:p>
        </w:tc>
        <w:tc>
          <w:tcPr>
            <w:tcW w:w="1023" w:type="dxa"/>
            <w:vMerge w:val="continue"/>
            <w:tcBorders>
              <w:tl2br w:val="nil"/>
              <w:tr2bl w:val="nil"/>
            </w:tcBorders>
            <w:shd w:val="clear" w:color="auto" w:fill="auto"/>
            <w:vAlign w:val="center"/>
          </w:tcPr>
          <w:p>
            <w:pPr>
              <w:ind w:firstLine="240" w:firstLineChars="100"/>
              <w:jc w:val="center"/>
            </w:pPr>
          </w:p>
        </w:tc>
        <w:tc>
          <w:tcPr>
            <w:tcW w:w="1061" w:type="dxa"/>
            <w:vMerge w:val="continue"/>
            <w:tcBorders>
              <w:tl2br w:val="nil"/>
              <w:tr2bl w:val="nil"/>
            </w:tcBorders>
            <w:shd w:val="clear" w:color="auto" w:fill="auto"/>
            <w:vAlign w:val="center"/>
          </w:tcPr>
          <w:p>
            <w:pPr>
              <w:ind w:firstLine="240" w:firstLineChars="100"/>
              <w:jc w:val="center"/>
            </w:pPr>
          </w:p>
        </w:tc>
        <w:tc>
          <w:tcPr>
            <w:tcW w:w="2028" w:type="dxa"/>
            <w:vMerge w:val="continue"/>
            <w:tcBorders>
              <w:tl2br w:val="nil"/>
              <w:tr2bl w:val="nil"/>
            </w:tcBorders>
            <w:shd w:val="clear" w:color="auto" w:fill="auto"/>
            <w:vAlign w:val="center"/>
          </w:tcPr>
          <w:p>
            <w:pPr>
              <w:ind w:firstLine="240" w:firstLineChars="100"/>
              <w:jc w:val="center"/>
            </w:pPr>
          </w:p>
        </w:tc>
        <w:tc>
          <w:tcPr>
            <w:tcW w:w="1229" w:type="dxa"/>
            <w:vMerge w:val="continue"/>
            <w:tcBorders>
              <w:tl2br w:val="nil"/>
              <w:tr2bl w:val="nil"/>
            </w:tcBorders>
            <w:shd w:val="clear" w:color="auto" w:fill="auto"/>
            <w:vAlign w:val="center"/>
          </w:tcPr>
          <w:p>
            <w:pPr>
              <w:ind w:firstLine="240" w:firstLineChars="100"/>
              <w:jc w:val="center"/>
            </w:pPr>
          </w:p>
        </w:tc>
        <w:tc>
          <w:tcPr>
            <w:tcW w:w="3037" w:type="dxa"/>
            <w:tcBorders>
              <w:tl2br w:val="nil"/>
              <w:tr2bl w:val="nil"/>
            </w:tcBorders>
            <w:shd w:val="clear" w:color="auto" w:fill="auto"/>
            <w:noWrap/>
            <w:vAlign w:val="center"/>
          </w:tcPr>
          <w:p>
            <w:pPr>
              <w:ind w:firstLine="0" w:firstLineChars="0"/>
              <w:jc w:val="left"/>
              <w:rPr>
                <w:rFonts w:hint="eastAsia" w:ascii="仿宋" w:hAnsi="仿宋" w:eastAsia="仿宋" w:cs="仿宋"/>
                <w:kern w:val="2"/>
                <w:sz w:val="24"/>
                <w:szCs w:val="24"/>
                <w:lang w:val="en-US" w:eastAsia="zh-CN" w:bidi="ar-SA"/>
              </w:rPr>
            </w:pPr>
            <w:r>
              <w:rPr>
                <w:rFonts w:hint="eastAsia"/>
              </w:rPr>
              <w:t>挥发分（Vdaf%）：</w:t>
            </w:r>
            <w:bookmarkStart w:id="1" w:name="_GoBack"/>
            <w:bookmarkEnd w:id="1"/>
          </w:p>
        </w:tc>
      </w:tr>
    </w:tbl>
    <w:p>
      <w:pPr>
        <w:spacing w:line="560" w:lineRule="exact"/>
        <w:ind w:firstLine="560" w:firstLineChars="200"/>
        <w:jc w:val="left"/>
        <w:rPr>
          <w:rFonts w:ascii="黑体" w:hAnsi="黑体" w:eastAsia="黑体"/>
          <w:sz w:val="28"/>
          <w:szCs w:val="28"/>
        </w:rPr>
      </w:pPr>
      <w:r>
        <w:rPr>
          <w:rFonts w:hint="eastAsia" w:ascii="黑体" w:hAnsi="黑体" w:eastAsia="黑体"/>
          <w:sz w:val="28"/>
          <w:szCs w:val="28"/>
        </w:rPr>
        <w:t>三、交易资格</w:t>
      </w:r>
    </w:p>
    <w:p>
      <w:pPr>
        <w:spacing w:line="560" w:lineRule="exact"/>
        <w:ind w:firstLine="560" w:firstLineChars="200"/>
        <w:jc w:val="left"/>
        <w:rPr>
          <w:rFonts w:ascii="黑体" w:hAnsi="黑体" w:eastAsia="黑体"/>
          <w:sz w:val="28"/>
          <w:szCs w:val="28"/>
        </w:rPr>
      </w:pPr>
      <w:r>
        <w:rPr>
          <w:rFonts w:hint="eastAsia"/>
          <w:sz w:val="28"/>
          <w:szCs w:val="28"/>
        </w:rPr>
        <w:t>1.交易资格：陕西煤炭交易中心煤炭类会员</w:t>
      </w:r>
      <w:r>
        <w:rPr>
          <w:rFonts w:hint="eastAsia"/>
          <w:sz w:val="28"/>
          <w:szCs w:val="28"/>
          <w:lang w:val="en-US" w:eastAsia="zh-CN"/>
        </w:rPr>
        <w:t>均</w:t>
      </w:r>
      <w:r>
        <w:rPr>
          <w:rFonts w:hint="eastAsia"/>
          <w:sz w:val="28"/>
          <w:szCs w:val="28"/>
        </w:rPr>
        <w:t>可参与；</w:t>
      </w:r>
    </w:p>
    <w:p>
      <w:pPr>
        <w:spacing w:line="560" w:lineRule="exact"/>
        <w:ind w:firstLine="560" w:firstLineChars="200"/>
        <w:jc w:val="left"/>
        <w:rPr>
          <w:rFonts w:hint="default" w:eastAsia="仿宋"/>
          <w:sz w:val="28"/>
          <w:szCs w:val="28"/>
          <w:lang w:val="en-US" w:eastAsia="zh-CN"/>
        </w:rPr>
      </w:pPr>
      <w:r>
        <w:rPr>
          <w:rFonts w:hint="eastAsia"/>
          <w:sz w:val="28"/>
          <w:szCs w:val="28"/>
        </w:rPr>
        <w:t>2.交易保证金：</w:t>
      </w:r>
      <w:r>
        <w:rPr>
          <w:rFonts w:hint="eastAsia"/>
          <w:sz w:val="28"/>
          <w:szCs w:val="28"/>
          <w:lang w:val="en-US" w:eastAsia="zh-CN"/>
        </w:rPr>
        <w:t>沫煤、块煤、分离沫煤</w:t>
      </w:r>
      <w:r>
        <w:rPr>
          <w:rFonts w:hint="eastAsia"/>
          <w:color w:val="000000"/>
          <w:sz w:val="28"/>
          <w:szCs w:val="28"/>
          <w:lang w:val="en-US" w:eastAsia="zh-CN"/>
        </w:rPr>
        <w:t>线上保证金为</w:t>
      </w:r>
      <w:r>
        <w:rPr>
          <w:rFonts w:hint="eastAsia"/>
          <w:sz w:val="28"/>
          <w:szCs w:val="28"/>
          <w:lang w:val="en-US" w:eastAsia="zh-CN"/>
        </w:rPr>
        <w:t>起拍价*购买量*10%</w:t>
      </w:r>
      <w:r>
        <w:rPr>
          <w:rFonts w:hint="eastAsia"/>
          <w:color w:val="000000"/>
          <w:sz w:val="28"/>
          <w:szCs w:val="28"/>
          <w:lang w:val="en-US" w:eastAsia="zh-CN"/>
        </w:rPr>
        <w:t>，煤泥、中煤、掘进煤、大块煤、中煤线上保证金为为</w:t>
      </w:r>
      <w:r>
        <w:rPr>
          <w:rFonts w:hint="eastAsia"/>
          <w:sz w:val="28"/>
          <w:szCs w:val="28"/>
          <w:lang w:val="en-US" w:eastAsia="zh-CN"/>
        </w:rPr>
        <w:t>5万元/包。</w:t>
      </w:r>
    </w:p>
    <w:p>
      <w:pPr>
        <w:spacing w:line="560" w:lineRule="exact"/>
        <w:ind w:firstLine="560" w:firstLineChars="200"/>
        <w:jc w:val="left"/>
        <w:rPr>
          <w:rFonts w:ascii="黑体" w:hAnsi="黑体" w:eastAsia="黑体"/>
          <w:sz w:val="28"/>
          <w:szCs w:val="28"/>
        </w:rPr>
      </w:pPr>
      <w:r>
        <w:rPr>
          <w:rFonts w:hint="eastAsia" w:ascii="黑体" w:hAnsi="黑体" w:eastAsia="黑体"/>
          <w:sz w:val="28"/>
          <w:szCs w:val="28"/>
        </w:rPr>
        <w:t>四、交易规则</w:t>
      </w:r>
    </w:p>
    <w:p>
      <w:pPr>
        <w:spacing w:line="560" w:lineRule="exact"/>
        <w:ind w:firstLine="560" w:firstLineChars="200"/>
        <w:jc w:val="left"/>
        <w:rPr>
          <w:rFonts w:hint="eastAsia"/>
          <w:sz w:val="28"/>
          <w:szCs w:val="28"/>
        </w:rPr>
      </w:pPr>
      <w:r>
        <w:rPr>
          <w:rFonts w:hint="eastAsia"/>
          <w:sz w:val="28"/>
          <w:szCs w:val="28"/>
          <w:lang w:val="en-US" w:eastAsia="zh-CN"/>
        </w:rPr>
        <w:t>竞价交易，价高者得。</w:t>
      </w:r>
      <w:r>
        <w:rPr>
          <w:rFonts w:hint="eastAsia"/>
          <w:sz w:val="28"/>
          <w:szCs w:val="28"/>
        </w:rPr>
        <w:t>倒计时时长为1分钟（倒计时开始前为自由出价时间，客户根据需求自由出价。进入倒计时阶段后，如场内无任何客户出价，则倒计时60秒该场次直接结束，如60秒内有任何一家客户对任何一个标的出价，则倒计时重置为60秒，如一直有客户出价，倒计时最长可延至场次结束最后一分钟不再重置。最后60秒倒计时结束后，交易结束）。</w:t>
      </w:r>
    </w:p>
    <w:p>
      <w:pPr>
        <w:spacing w:line="560" w:lineRule="exact"/>
        <w:ind w:firstLine="560" w:firstLineChars="200"/>
        <w:jc w:val="left"/>
        <w:rPr>
          <w:sz w:val="28"/>
          <w:szCs w:val="28"/>
        </w:rPr>
      </w:pPr>
      <w:r>
        <w:rPr>
          <w:rFonts w:hint="eastAsia" w:ascii="黑体" w:hAnsi="黑体" w:eastAsia="黑体"/>
          <w:sz w:val="28"/>
          <w:szCs w:val="28"/>
        </w:rPr>
        <w:t>五、附加说明</w:t>
      </w:r>
    </w:p>
    <w:p>
      <w:pPr>
        <w:spacing w:line="560" w:lineRule="exact"/>
        <w:ind w:firstLine="560" w:firstLineChars="200"/>
        <w:jc w:val="left"/>
        <w:rPr>
          <w:rFonts w:hint="eastAsia"/>
          <w:color w:val="000000"/>
          <w:sz w:val="28"/>
          <w:szCs w:val="28"/>
          <w:lang w:val="en-US" w:eastAsia="zh-CN"/>
        </w:rPr>
      </w:pPr>
      <w:r>
        <w:rPr>
          <w:rFonts w:hint="eastAsia"/>
          <w:color w:val="000000"/>
          <w:sz w:val="28"/>
          <w:szCs w:val="28"/>
          <w:lang w:val="en-US" w:eastAsia="zh-CN"/>
        </w:rPr>
        <w:t>1、交易保证金缴纳相关要求说明：</w:t>
      </w:r>
      <w:r>
        <w:rPr>
          <w:rFonts w:hint="eastAsia"/>
          <w:sz w:val="28"/>
          <w:szCs w:val="28"/>
          <w:lang w:val="en-US" w:eastAsia="zh-CN"/>
        </w:rPr>
        <w:t>沫煤、块煤、分离沫煤</w:t>
      </w:r>
      <w:r>
        <w:rPr>
          <w:rFonts w:hint="eastAsia"/>
          <w:color w:val="000000"/>
          <w:sz w:val="28"/>
          <w:szCs w:val="28"/>
          <w:lang w:val="en-US" w:eastAsia="zh-CN"/>
        </w:rPr>
        <w:t>线上保证金为</w:t>
      </w:r>
      <w:r>
        <w:rPr>
          <w:rFonts w:hint="eastAsia"/>
          <w:sz w:val="28"/>
          <w:szCs w:val="28"/>
          <w:lang w:val="en-US" w:eastAsia="zh-CN"/>
        </w:rPr>
        <w:t>起拍价*购买量*10%</w:t>
      </w:r>
      <w:r>
        <w:rPr>
          <w:rFonts w:hint="eastAsia"/>
          <w:color w:val="000000"/>
          <w:sz w:val="28"/>
          <w:szCs w:val="28"/>
          <w:lang w:val="en-US" w:eastAsia="zh-CN"/>
        </w:rPr>
        <w:t>，煤泥、中煤、掘进煤、大块煤、中煤线上保证金为</w:t>
      </w:r>
      <w:r>
        <w:rPr>
          <w:rFonts w:hint="eastAsia"/>
          <w:sz w:val="28"/>
          <w:szCs w:val="28"/>
          <w:lang w:val="en-US" w:eastAsia="zh-CN"/>
        </w:rPr>
        <w:t>5万元/包。</w:t>
      </w:r>
    </w:p>
    <w:p>
      <w:pPr>
        <w:spacing w:line="560" w:lineRule="exact"/>
        <w:ind w:firstLine="560" w:firstLineChars="200"/>
        <w:jc w:val="left"/>
        <w:rPr>
          <w:rFonts w:hint="eastAsia"/>
          <w:color w:val="000000"/>
          <w:sz w:val="28"/>
          <w:szCs w:val="28"/>
          <w:lang w:val="en-US" w:eastAsia="zh-CN"/>
        </w:rPr>
      </w:pPr>
      <w:r>
        <w:rPr>
          <w:rFonts w:hint="eastAsia"/>
          <w:color w:val="000000"/>
          <w:sz w:val="28"/>
          <w:szCs w:val="28"/>
          <w:lang w:val="en-US" w:eastAsia="zh-CN"/>
        </w:rPr>
        <w:t xml:space="preserve">2、运输方式及价格说明：运输方式为汽运，客户自行组织拉运，价格为出厂含税价。                                                                                 </w:t>
      </w:r>
    </w:p>
    <w:p>
      <w:pPr>
        <w:spacing w:line="560" w:lineRule="exact"/>
        <w:ind w:firstLine="560" w:firstLineChars="200"/>
        <w:jc w:val="left"/>
        <w:rPr>
          <w:rFonts w:hint="eastAsia"/>
          <w:color w:val="000000"/>
          <w:sz w:val="28"/>
          <w:szCs w:val="28"/>
          <w:lang w:val="en-US" w:eastAsia="zh-CN"/>
        </w:rPr>
      </w:pPr>
      <w:r>
        <w:rPr>
          <w:rFonts w:hint="eastAsia"/>
          <w:color w:val="000000"/>
          <w:sz w:val="28"/>
          <w:szCs w:val="28"/>
          <w:lang w:val="en-US" w:eastAsia="zh-CN"/>
        </w:rPr>
        <w:t>3、交货周期说明:各成交客户拉运周期根据生产方安排执行，未能如期拉运完成成交量的，我公司有权进行未完成考核。</w:t>
      </w:r>
    </w:p>
    <w:p>
      <w:pPr>
        <w:spacing w:line="560" w:lineRule="exact"/>
        <w:ind w:firstLine="560" w:firstLineChars="200"/>
        <w:jc w:val="left"/>
        <w:rPr>
          <w:rFonts w:hint="eastAsia"/>
          <w:color w:val="000000"/>
          <w:sz w:val="28"/>
          <w:szCs w:val="28"/>
          <w:lang w:val="en-US" w:eastAsia="zh-CN"/>
        </w:rPr>
      </w:pPr>
      <w:r>
        <w:rPr>
          <w:rFonts w:hint="eastAsia"/>
          <w:color w:val="000000"/>
          <w:sz w:val="28"/>
          <w:szCs w:val="28"/>
          <w:lang w:val="en-US" w:eastAsia="zh-CN"/>
        </w:rPr>
        <w:t>4、签订合同及打款期限：客户中标后需在交易结束24小时内携带营业执照正（副）本复印件、银行开户许可证复印件、授权委托书、受委托人身份证与延安能源产品经销有限责任公司签订合同，并预付足额款，若未在规定期限内与延安能源产品经销有限责任公司签订合同的视为中标方主动弃标，并承担相应责任，扣除全额交易保证金。</w:t>
      </w:r>
    </w:p>
    <w:p>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hint="eastAsia"/>
          <w:color w:val="000000"/>
          <w:sz w:val="28"/>
          <w:szCs w:val="28"/>
          <w:lang w:val="en-US" w:eastAsia="zh-CN"/>
        </w:rPr>
      </w:pPr>
      <w:r>
        <w:rPr>
          <w:rFonts w:hint="eastAsia"/>
          <w:color w:val="000000"/>
          <w:sz w:val="28"/>
          <w:szCs w:val="28"/>
          <w:lang w:val="en-US" w:eastAsia="zh-CN"/>
        </w:rPr>
        <w:t xml:space="preserve">5、数量、质量说明:本次竞拍煤质以成交用户实际场地检验的煤质为准,交易商可自行前往现场踏勘实物，因用户未提前了解等原因导致的产品指标风险由交易商自担。数量以延安能源产品经销有限责任公司磅房提供的过磅数量单为准。                                                       </w:t>
      </w:r>
    </w:p>
    <w:p>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hint="eastAsia"/>
          <w:color w:val="000000"/>
          <w:sz w:val="28"/>
          <w:szCs w:val="28"/>
          <w:lang w:val="en-US" w:eastAsia="zh-CN"/>
        </w:rPr>
      </w:pPr>
      <w:r>
        <w:rPr>
          <w:rFonts w:hint="eastAsia"/>
          <w:color w:val="000000"/>
          <w:sz w:val="28"/>
          <w:szCs w:val="28"/>
          <w:lang w:val="en-US" w:eastAsia="zh-CN"/>
        </w:rPr>
        <w:t>6、货款结算：一票结算,如有重大市场变化，延安能源产品经销有限责任公司有权对价格进行调整并提前告知客户。</w:t>
      </w:r>
    </w:p>
    <w:p>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hint="eastAsia"/>
          <w:color w:val="000000"/>
          <w:sz w:val="28"/>
          <w:szCs w:val="28"/>
          <w:lang w:val="en-US" w:eastAsia="zh-CN"/>
        </w:rPr>
      </w:pPr>
      <w:r>
        <w:rPr>
          <w:rFonts w:hint="eastAsia"/>
          <w:color w:val="000000"/>
          <w:sz w:val="28"/>
          <w:szCs w:val="28"/>
          <w:lang w:val="en-US" w:eastAsia="zh-CN"/>
        </w:rPr>
        <w:t xml:space="preserve">货款支付账号如下：                </w:t>
      </w:r>
    </w:p>
    <w:p>
      <w:pPr>
        <w:keepNext w:val="0"/>
        <w:keepLines w:val="0"/>
        <w:pageBreakBefore w:val="0"/>
        <w:widowControl w:val="0"/>
        <w:kinsoku/>
        <w:wordWrap/>
        <w:overflowPunct/>
        <w:topLinePunct w:val="0"/>
        <w:autoSpaceDE/>
        <w:autoSpaceDN/>
        <w:bidi w:val="0"/>
        <w:adjustRightInd/>
        <w:snapToGrid w:val="0"/>
        <w:spacing w:line="560" w:lineRule="exact"/>
        <w:ind w:left="557" w:leftChars="232" w:firstLine="0" w:firstLineChars="0"/>
        <w:jc w:val="left"/>
        <w:textAlignment w:val="auto"/>
        <w:rPr>
          <w:rFonts w:hint="eastAsia" w:eastAsia="仿宋"/>
          <w:color w:val="000000"/>
          <w:sz w:val="28"/>
          <w:szCs w:val="28"/>
          <w:lang w:val="en-US"/>
        </w:rPr>
      </w:pPr>
      <w:r>
        <w:rPr>
          <w:rFonts w:hint="eastAsia"/>
          <w:color w:val="000000"/>
          <w:sz w:val="28"/>
          <w:szCs w:val="28"/>
          <w:lang w:val="en-US" w:eastAsia="zh-CN"/>
        </w:rPr>
        <w:t>单位名称：延安能源产品经销有限责任公司                                                                               单位税号：91610600MA6YME2L1F                                                                                     开户行：</w:t>
      </w:r>
      <w:r>
        <w:rPr>
          <w:rFonts w:hint="eastAsia"/>
          <w:color w:val="000000"/>
          <w:sz w:val="28"/>
          <w:szCs w:val="28"/>
          <w:lang w:val="en-US"/>
        </w:rPr>
        <w:t>长安银行股份有限公司延安分行</w:t>
      </w:r>
    </w:p>
    <w:p>
      <w:pPr>
        <w:keepNext w:val="0"/>
        <w:keepLines w:val="0"/>
        <w:pageBreakBefore w:val="0"/>
        <w:widowControl w:val="0"/>
        <w:kinsoku/>
        <w:wordWrap/>
        <w:overflowPunct/>
        <w:topLinePunct w:val="0"/>
        <w:autoSpaceDE/>
        <w:autoSpaceDN/>
        <w:bidi w:val="0"/>
        <w:adjustRightInd/>
        <w:snapToGrid w:val="0"/>
        <w:spacing w:line="560" w:lineRule="exact"/>
        <w:ind w:left="0" w:leftChars="0" w:firstLine="560" w:firstLineChars="200"/>
        <w:jc w:val="left"/>
        <w:textAlignment w:val="auto"/>
        <w:rPr>
          <w:rFonts w:hint="eastAsia"/>
          <w:color w:val="000000"/>
          <w:sz w:val="28"/>
          <w:szCs w:val="28"/>
          <w:lang w:val="en-US" w:eastAsia="zh-CN"/>
        </w:rPr>
      </w:pPr>
      <w:r>
        <w:rPr>
          <w:rFonts w:hint="eastAsia"/>
          <w:color w:val="000000"/>
          <w:sz w:val="28"/>
          <w:szCs w:val="28"/>
          <w:lang w:val="en-US" w:eastAsia="zh-CN"/>
        </w:rPr>
        <w:t>账号：</w:t>
      </w:r>
      <w:r>
        <w:rPr>
          <w:rFonts w:hint="eastAsia"/>
          <w:color w:val="000000"/>
          <w:sz w:val="28"/>
          <w:szCs w:val="28"/>
          <w:lang w:val="en-US"/>
        </w:rPr>
        <w:t>806080001421017918</w:t>
      </w:r>
    </w:p>
    <w:p>
      <w:pPr>
        <w:numPr>
          <w:ilvl w:val="0"/>
          <w:numId w:val="0"/>
        </w:numPr>
        <w:spacing w:line="560" w:lineRule="exact"/>
        <w:ind w:firstLine="560" w:firstLineChars="200"/>
        <w:jc w:val="left"/>
        <w:rPr>
          <w:rFonts w:hint="eastAsia"/>
          <w:color w:val="000000"/>
          <w:sz w:val="28"/>
          <w:szCs w:val="28"/>
          <w:lang w:val="en-US" w:eastAsia="zh-CN"/>
        </w:rPr>
      </w:pPr>
      <w:r>
        <w:rPr>
          <w:rFonts w:hint="eastAsia"/>
          <w:color w:val="000000"/>
          <w:sz w:val="28"/>
          <w:szCs w:val="28"/>
          <w:lang w:val="en-US" w:eastAsia="zh-CN"/>
        </w:rPr>
        <w:t xml:space="preserve">7、特别说明：请计划参与网上交易的客户应提前了解产品实际情况和路况等相关信息，如因客户未了解详细信息参与竞拍造成损失、责任由客户自行承担。我公司与交易中心不承担任何责任；如遇政策变化、拉运环境变化、井下生产条件变化等不可抗力因素导致无法足额履约的，延安能源产品经销有限责任公司不承担违约责任。                                                           </w:t>
      </w:r>
    </w:p>
    <w:p>
      <w:pPr>
        <w:numPr>
          <w:ilvl w:val="0"/>
          <w:numId w:val="1"/>
        </w:numPr>
        <w:spacing w:line="560" w:lineRule="exact"/>
        <w:ind w:firstLine="560" w:firstLineChars="200"/>
        <w:jc w:val="left"/>
        <w:rPr>
          <w:rFonts w:hint="eastAsia"/>
          <w:color w:val="000000"/>
          <w:sz w:val="28"/>
          <w:szCs w:val="28"/>
          <w:lang w:val="en-US" w:eastAsia="zh-CN"/>
        </w:rPr>
      </w:pPr>
      <w:r>
        <w:rPr>
          <w:rFonts w:hint="eastAsia"/>
          <w:color w:val="000000"/>
          <w:sz w:val="28"/>
          <w:szCs w:val="28"/>
          <w:lang w:val="en-US" w:eastAsia="zh-CN"/>
        </w:rPr>
        <w:t>投标竞卖过程中如发现恶意竞拍、恶意串标等违反平台交易规则的行为，延安能源产品经销有限责任公司及交易中心有权立即中止竞拍，作废该场成交，对违规客户做停拍处理。</w:t>
      </w:r>
    </w:p>
    <w:p>
      <w:pPr>
        <w:spacing w:line="560" w:lineRule="exact"/>
        <w:ind w:firstLine="560" w:firstLineChars="200"/>
        <w:jc w:val="left"/>
        <w:rPr>
          <w:rFonts w:hint="eastAsia"/>
          <w:color w:val="000000"/>
          <w:sz w:val="28"/>
          <w:szCs w:val="28"/>
          <w:lang w:val="en-US" w:eastAsia="zh-CN"/>
        </w:rPr>
      </w:pPr>
      <w:r>
        <w:rPr>
          <w:rFonts w:hint="eastAsia"/>
          <w:color w:val="000000"/>
          <w:sz w:val="28"/>
          <w:szCs w:val="28"/>
          <w:lang w:val="en-US" w:eastAsia="zh-CN"/>
        </w:rPr>
        <w:t>9、参与交易客户需遵循西煤交易《交易会员注册协议》、《网上交易管理办法》及延安能源产品经销有限责任公司《煤炭投标竞卖管理办法》。以上未尽事宜，以双方实际签订的合同条款为准。</w:t>
      </w:r>
    </w:p>
    <w:p>
      <w:pPr>
        <w:spacing w:line="560" w:lineRule="exact"/>
        <w:ind w:firstLine="560" w:firstLineChars="200"/>
        <w:jc w:val="left"/>
        <w:rPr>
          <w:rFonts w:hint="eastAsia" w:ascii="黑体" w:hAnsi="黑体" w:eastAsia="黑体"/>
          <w:sz w:val="28"/>
          <w:szCs w:val="28"/>
        </w:rPr>
      </w:pPr>
      <w:r>
        <w:rPr>
          <w:rFonts w:hint="eastAsia" w:ascii="黑体" w:hAnsi="黑体" w:eastAsia="黑体"/>
          <w:sz w:val="28"/>
          <w:szCs w:val="28"/>
        </w:rPr>
        <w:t>六、违约处置</w:t>
      </w:r>
    </w:p>
    <w:p>
      <w:pPr>
        <w:spacing w:line="560" w:lineRule="exact"/>
        <w:ind w:firstLine="560" w:firstLineChars="200"/>
        <w:jc w:val="left"/>
        <w:rPr>
          <w:rFonts w:hint="default"/>
          <w:color w:val="000000"/>
          <w:sz w:val="28"/>
          <w:szCs w:val="28"/>
          <w:lang w:val="en-US" w:eastAsia="zh-CN"/>
        </w:rPr>
      </w:pPr>
      <w:r>
        <w:rPr>
          <w:rFonts w:hint="eastAsia"/>
          <w:color w:val="000000"/>
          <w:sz w:val="28"/>
          <w:szCs w:val="28"/>
          <w:lang w:val="en-US" w:eastAsia="zh-CN"/>
        </w:rPr>
        <w:t xml:space="preserve">违约处理：中标客户不兑现和主动弃标，我公司有权申请陕西煤炭交易中心有限公司执行违约处理。合同兑现率达到≥90%，合同双方互不考核，由于客户原因造成兑现率低于90%的情况，由延安能源产品经销有限责任公司联系交易中心按照以下违约处置方式扣除交易保证金，并划转至公司账户：a、兑现率低于90%的情况扣除全额交易保证金；b、各竞拍客户必须均衡拉运，对兑现率完成差或未均衡拉运影响我矿销售的客户，除扣除罚款金外视情况给予在交易中心停止竞拍的处理。               </w:t>
      </w:r>
    </w:p>
    <w:p>
      <w:pPr>
        <w:spacing w:line="560" w:lineRule="exact"/>
        <w:ind w:firstLine="560" w:firstLineChars="200"/>
        <w:jc w:val="left"/>
        <w:rPr>
          <w:rFonts w:ascii="黑体" w:hAnsi="黑体" w:eastAsia="黑体"/>
          <w:sz w:val="28"/>
          <w:szCs w:val="28"/>
        </w:rPr>
      </w:pPr>
      <w:r>
        <w:rPr>
          <w:rFonts w:hint="eastAsia" w:ascii="黑体" w:hAnsi="黑体" w:eastAsia="黑体"/>
          <w:sz w:val="28"/>
          <w:szCs w:val="28"/>
        </w:rPr>
        <w:t>七、联系方式</w:t>
      </w:r>
    </w:p>
    <w:p>
      <w:pPr>
        <w:spacing w:line="560" w:lineRule="exact"/>
        <w:ind w:firstLine="560" w:firstLineChars="200"/>
        <w:jc w:val="left"/>
        <w:rPr>
          <w:rFonts w:hint="default"/>
          <w:color w:val="000000"/>
          <w:sz w:val="28"/>
          <w:szCs w:val="28"/>
          <w:lang w:val="en-US" w:eastAsia="zh-CN"/>
        </w:rPr>
      </w:pPr>
      <w:r>
        <w:rPr>
          <w:rFonts w:hint="eastAsia"/>
          <w:color w:val="000000"/>
          <w:sz w:val="28"/>
          <w:szCs w:val="28"/>
          <w:lang w:val="en-US" w:eastAsia="zh-CN"/>
        </w:rPr>
        <w:t>延安能源产品经销有限责任公司</w:t>
      </w:r>
      <w:r>
        <w:rPr>
          <w:rFonts w:hint="default"/>
          <w:color w:val="000000"/>
          <w:sz w:val="28"/>
          <w:szCs w:val="28"/>
          <w:lang w:val="en-US" w:eastAsia="zh-CN"/>
        </w:rPr>
        <w:t>联系人：</w:t>
      </w:r>
    </w:p>
    <w:p>
      <w:pPr>
        <w:spacing w:line="560" w:lineRule="exact"/>
        <w:ind w:firstLine="560" w:firstLineChars="200"/>
        <w:jc w:val="left"/>
        <w:rPr>
          <w:rFonts w:hint="default" w:ascii="仿宋" w:hAnsi="仿宋" w:eastAsia="仿宋" w:cs="仿宋"/>
          <w:kern w:val="2"/>
          <w:sz w:val="28"/>
          <w:szCs w:val="28"/>
          <w:lang w:val="en-US" w:eastAsia="zh-CN" w:bidi="ar-SA"/>
        </w:rPr>
      </w:pPr>
      <w:r>
        <w:rPr>
          <w:rFonts w:hint="eastAsia" w:cs="仿宋"/>
          <w:kern w:val="2"/>
          <w:sz w:val="28"/>
          <w:szCs w:val="28"/>
          <w:lang w:val="en-US" w:eastAsia="zh-CN" w:bidi="ar-SA"/>
        </w:rPr>
        <w:t>常晨18609110053贾科13891133543左浩13209111196</w:t>
      </w:r>
    </w:p>
    <w:p>
      <w:pPr>
        <w:spacing w:line="560" w:lineRule="exact"/>
        <w:ind w:firstLine="560" w:firstLineChars="200"/>
        <w:jc w:val="left"/>
        <w:rPr>
          <w:rFonts w:hint="default" w:ascii="仿宋" w:hAnsi="仿宋" w:eastAsia="仿宋" w:cs="仿宋"/>
          <w:kern w:val="2"/>
          <w:sz w:val="28"/>
          <w:szCs w:val="28"/>
          <w:lang w:val="en-US" w:eastAsia="zh-CN" w:bidi="ar-SA"/>
        </w:rPr>
      </w:pPr>
      <w:r>
        <w:rPr>
          <w:rFonts w:hint="default" w:ascii="仿宋" w:hAnsi="仿宋" w:eastAsia="仿宋" w:cs="仿宋"/>
          <w:kern w:val="2"/>
          <w:sz w:val="28"/>
          <w:szCs w:val="28"/>
          <w:lang w:val="en-US" w:eastAsia="zh-CN" w:bidi="ar-SA"/>
        </w:rPr>
        <w:t>交易中心联系人：</w:t>
      </w:r>
    </w:p>
    <w:p>
      <w:pPr>
        <w:spacing w:line="560" w:lineRule="exact"/>
        <w:ind w:firstLine="560" w:firstLineChars="200"/>
        <w:jc w:val="left"/>
        <w:rPr>
          <w:rFonts w:hint="default" w:ascii="仿宋" w:hAnsi="仿宋" w:eastAsia="仿宋" w:cs="仿宋"/>
          <w:kern w:val="2"/>
          <w:sz w:val="28"/>
          <w:szCs w:val="28"/>
          <w:lang w:val="en-US" w:eastAsia="zh-CN" w:bidi="ar-SA"/>
        </w:rPr>
      </w:pPr>
      <w:r>
        <w:rPr>
          <w:rFonts w:hint="default" w:ascii="仿宋" w:hAnsi="仿宋" w:eastAsia="仿宋" w:cs="仿宋"/>
          <w:kern w:val="2"/>
          <w:sz w:val="28"/>
          <w:szCs w:val="28"/>
          <w:lang w:val="en-US" w:eastAsia="zh-CN" w:bidi="ar-SA"/>
        </w:rPr>
        <w:t>贾佩金15667062553</w:t>
      </w:r>
      <w:r>
        <w:rPr>
          <w:rFonts w:hint="eastAsia" w:cs="仿宋"/>
          <w:kern w:val="2"/>
          <w:sz w:val="28"/>
          <w:szCs w:val="28"/>
          <w:lang w:val="en-US" w:eastAsia="zh-CN" w:bidi="ar-SA"/>
        </w:rPr>
        <w:t xml:space="preserve">  赵梦白13572930102</w:t>
      </w:r>
    </w:p>
    <w:sectPr>
      <w:pgSz w:w="11906" w:h="16838"/>
      <w:pgMar w:top="720" w:right="720" w:bottom="720" w:left="72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240"/>
      </w:pPr>
      <w:r>
        <w:separator/>
      </w:r>
    </w:p>
  </w:endnote>
  <w:endnote w:type="continuationSeparator" w:id="1">
    <w:p>
      <w:pPr>
        <w:ind w:firstLine="2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8F238D1-B2C4-45A3-B1F5-753BD9A562A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embedRegular r:id="rId2" w:fontKey="{9770D186-28DC-4172-B374-3B628398F283}"/>
  </w:font>
  <w:font w:name="方正公文小标宋">
    <w:panose1 w:val="02000500000000000000"/>
    <w:charset w:val="86"/>
    <w:family w:val="auto"/>
    <w:pitch w:val="default"/>
    <w:sig w:usb0="A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240"/>
      </w:pPr>
      <w:r>
        <w:separator/>
      </w:r>
    </w:p>
  </w:footnote>
  <w:footnote w:type="continuationSeparator" w:id="1">
    <w:p>
      <w:pPr>
        <w:ind w:firstLine="2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singleLevel"/>
    <w:tmpl w:val="00000000"/>
    <w:lvl w:ilvl="0" w:tentative="0">
      <w:start w:val="8"/>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EzMmVkYWFjOTRlNjQxZjM0MDMwYzBlM2M5YzEyMjAifQ=="/>
  </w:docVars>
  <w:rsids>
    <w:rsidRoot w:val="00000000"/>
    <w:rsid w:val="30323E1F"/>
    <w:rsid w:val="3F684F93"/>
    <w:rsid w:val="455C30D1"/>
    <w:rsid w:val="6A8855DC"/>
    <w:rsid w:val="76E346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napToGrid w:val="0"/>
      <w:ind w:firstLine="240" w:firstLineChars="100"/>
      <w:jc w:val="center"/>
    </w:pPr>
    <w:rPr>
      <w:rFonts w:ascii="仿宋" w:hAnsi="仿宋" w:eastAsia="仿宋" w:cs="仿宋"/>
      <w:kern w:val="2"/>
      <w:sz w:val="24"/>
      <w:szCs w:val="24"/>
      <w:lang w:val="en-US" w:eastAsia="zh-CN" w:bidi="ar-SA"/>
    </w:rPr>
  </w:style>
  <w:style w:type="character" w:default="1" w:styleId="7">
    <w:name w:val="Default Paragraph Font"/>
    <w:qFormat/>
    <w:uiPriority w:val="1"/>
  </w:style>
  <w:style w:type="table" w:default="1" w:styleId="5">
    <w:name w:val="Normal Table"/>
    <w:qFormat/>
    <w:uiPriority w:val="99"/>
    <w:tblPr>
      <w:tblCellMar>
        <w:top w:w="0" w:type="dxa"/>
        <w:left w:w="108" w:type="dxa"/>
        <w:bottom w:w="0" w:type="dxa"/>
        <w:right w:w="108" w:type="dxa"/>
      </w:tblCellMar>
    </w:tblPr>
  </w:style>
  <w:style w:type="paragraph" w:styleId="2">
    <w:name w:val="footer"/>
    <w:basedOn w:val="1"/>
    <w:link w:val="9"/>
    <w:qFormat/>
    <w:uiPriority w:val="99"/>
    <w:pPr>
      <w:tabs>
        <w:tab w:val="center" w:pos="4153"/>
        <w:tab w:val="right" w:pos="8306"/>
      </w:tabs>
      <w:jc w:val="left"/>
    </w:pPr>
    <w:rPr>
      <w:sz w:val="18"/>
      <w:szCs w:val="18"/>
    </w:rPr>
  </w:style>
  <w:style w:type="paragraph" w:styleId="3">
    <w:name w:val="header"/>
    <w:basedOn w:val="1"/>
    <w:link w:val="8"/>
    <w:qFormat/>
    <w:uiPriority w:val="99"/>
    <w:pPr>
      <w:pBdr>
        <w:bottom w:val="single" w:color="auto" w:sz="6" w:space="1"/>
      </w:pBdr>
      <w:tabs>
        <w:tab w:val="center" w:pos="4153"/>
        <w:tab w:val="right" w:pos="8306"/>
      </w:tabs>
    </w:pPr>
    <w:rPr>
      <w:sz w:val="18"/>
      <w:szCs w:val="18"/>
    </w:rPr>
  </w:style>
  <w:style w:type="paragraph" w:styleId="4">
    <w:name w:val="Normal (Web)"/>
    <w:basedOn w:val="1"/>
    <w:qFormat/>
    <w:uiPriority w:val="99"/>
    <w:pPr>
      <w:widowControl/>
      <w:spacing w:line="360" w:lineRule="auto"/>
      <w:jc w:val="left"/>
    </w:pPr>
    <w:rPr>
      <w:kern w:val="0"/>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8">
    <w:name w:val="页眉 字符"/>
    <w:basedOn w:val="7"/>
    <w:link w:val="3"/>
    <w:qFormat/>
    <w:uiPriority w:val="99"/>
    <w:rPr>
      <w:sz w:val="18"/>
      <w:szCs w:val="18"/>
    </w:rPr>
  </w:style>
  <w:style w:type="character" w:customStyle="1" w:styleId="9">
    <w:name w:val="页脚 字符"/>
    <w:basedOn w:val="7"/>
    <w:link w:val="2"/>
    <w:qFormat/>
    <w:uiPriority w:val="99"/>
    <w:rPr>
      <w:sz w:val="18"/>
      <w:szCs w:val="18"/>
    </w:rPr>
  </w:style>
  <w:style w:type="character" w:customStyle="1" w:styleId="10">
    <w:name w:val="font11"/>
    <w:basedOn w:val="7"/>
    <w:qFormat/>
    <w:uiPriority w:val="0"/>
    <w:rPr>
      <w:rFonts w:hint="eastAsia" w:ascii="仿宋" w:hAnsi="仿宋" w:eastAsia="仿宋" w:cs="仿宋"/>
      <w:color w:val="000000"/>
      <w:sz w:val="24"/>
      <w:szCs w:val="24"/>
      <w:u w:val="none"/>
    </w:rPr>
  </w:style>
  <w:style w:type="character" w:customStyle="1" w:styleId="11">
    <w:name w:val="font31"/>
    <w:basedOn w:val="7"/>
    <w:qFormat/>
    <w:uiPriority w:val="0"/>
    <w:rPr>
      <w:rFonts w:hint="eastAsia" w:ascii="仿宋" w:hAnsi="仿宋" w:eastAsia="仿宋" w:cs="仿宋"/>
      <w:color w:val="FF0000"/>
      <w:sz w:val="40"/>
      <w:szCs w:val="40"/>
      <w:u w:val="none"/>
    </w:rPr>
  </w:style>
  <w:style w:type="character" w:customStyle="1" w:styleId="12">
    <w:name w:val="font41"/>
    <w:basedOn w:val="7"/>
    <w:qFormat/>
    <w:uiPriority w:val="0"/>
    <w:rPr>
      <w:rFonts w:hint="eastAsia" w:ascii="仿宋" w:hAnsi="仿宋" w:eastAsia="仿宋" w:cs="仿宋"/>
      <w:color w:val="FF0000"/>
      <w:sz w:val="24"/>
      <w:szCs w:val="24"/>
      <w:u w:val="none"/>
    </w:rPr>
  </w:style>
  <w:style w:type="paragraph" w:styleId="13">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Pages>
  <Words>1613</Words>
  <Characters>1769</Characters>
  <Paragraphs>201</Paragraphs>
  <TotalTime>8</TotalTime>
  <ScaleCrop>false</ScaleCrop>
  <LinksUpToDate>false</LinksUpToDate>
  <CharactersWithSpaces>2170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2024-07-26T01:13:00Z</dcterms:created>
  <dc:creator>AutoBVT</dc:creator>
  <cp:lastModifiedBy>贾佩金</cp:lastModifiedBy>
  <cp:lastPrinted>2024-07-02T01:07:00Z</cp:lastPrinted>
  <dcterms:modified xsi:type="dcterms:W3CDTF">2026-01-07T08:16:38Z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3A2B4EC61B2B4511B60F856B9E1999E3_13</vt:lpwstr>
  </property>
  <property fmtid="{D5CDD505-2E9C-101B-9397-08002B2CF9AE}" pid="4" name="KSOTemplateDocerSaveRecord">
    <vt:lpwstr>eyJoZGlkIjoiZDM1YjU2NjA0Njc0ZTM4YjU0NWU2ODY1ZDdhNmMxOGQiLCJ1c2VySWQiOiI0MjgyNjc0NTMifQ==</vt:lpwstr>
  </property>
</Properties>
</file>