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57DCAE">
      <w:pPr>
        <w:keepNext w:val="0"/>
        <w:keepLines w:val="0"/>
        <w:pageBreakBefore w:val="0"/>
        <w:widowControl w:val="0"/>
        <w:kinsoku/>
        <w:wordWrap/>
        <w:overflowPunct/>
        <w:topLinePunct w:val="0"/>
        <w:autoSpaceDE/>
        <w:autoSpaceDN/>
        <w:bidi w:val="0"/>
        <w:adjustRightInd/>
        <w:snapToGrid w:val="0"/>
        <w:spacing w:line="560" w:lineRule="exact"/>
        <w:ind w:left="0" w:leftChars="0" w:firstLine="0" w:firstLineChars="0"/>
        <w:jc w:val="center"/>
        <w:textAlignment w:val="auto"/>
        <w:rPr>
          <w:rFonts w:hint="eastAsia" w:ascii="方正仿宋_GB2312" w:hAnsi="方正仿宋_GB2312" w:eastAsia="方正仿宋_GB2312" w:cs="方正仿宋_GB2312"/>
          <w:b/>
          <w:bCs/>
          <w:color w:val="FFFFFF" w:themeColor="background1"/>
          <w:sz w:val="32"/>
          <w:szCs w:val="32"/>
          <w:lang w:val="en-US" w:eastAsia="zh-CN"/>
          <w14:textFill>
            <w14:solidFill>
              <w14:schemeClr w14:val="bg1"/>
            </w14:solidFill>
          </w14:textFill>
        </w:rPr>
      </w:pPr>
      <w:r>
        <w:rPr>
          <w:rFonts w:hint="eastAsia" w:ascii="方正仿宋_GB2312" w:hAnsi="方正仿宋_GB2312" w:eastAsia="方正仿宋_GB2312" w:cs="方正仿宋_GB2312"/>
          <w:b/>
          <w:bCs/>
          <w:color w:val="FFFFFF" w:themeColor="background1"/>
          <w:sz w:val="32"/>
          <w:szCs w:val="32"/>
          <w:lang w:val="en-US" w:eastAsia="zh-CN"/>
          <w14:textFill>
            <w14:solidFill>
              <w14:schemeClr w14:val="bg1"/>
            </w14:solidFill>
          </w14:textFill>
        </w:rPr>
        <w:t>11月20日陕煤运销集团蒲白分公司交易申请</w:t>
      </w:r>
    </w:p>
    <w:p w14:paraId="1EE63466">
      <w:pPr>
        <w:keepNext w:val="0"/>
        <w:keepLines w:val="0"/>
        <w:pageBreakBefore w:val="0"/>
        <w:widowControl w:val="0"/>
        <w:kinsoku/>
        <w:wordWrap/>
        <w:overflowPunct/>
        <w:topLinePunct w:val="0"/>
        <w:autoSpaceDE/>
        <w:autoSpaceDN/>
        <w:bidi w:val="0"/>
        <w:adjustRightInd/>
        <w:snapToGrid w:val="0"/>
        <w:spacing w:line="560" w:lineRule="exact"/>
        <w:ind w:firstLine="560" w:firstLineChars="200"/>
        <w:jc w:val="left"/>
        <w:textAlignment w:val="auto"/>
        <w:rPr>
          <w:rFonts w:hint="eastAsia" w:ascii="黑体" w:hAnsi="黑体" w:eastAsia="黑体"/>
          <w:sz w:val="28"/>
          <w:szCs w:val="28"/>
        </w:rPr>
      </w:pPr>
      <w:r>
        <w:rPr>
          <w:rFonts w:hint="eastAsia" w:ascii="黑体" w:hAnsi="黑体" w:eastAsia="黑体"/>
          <w:sz w:val="28"/>
          <w:szCs w:val="28"/>
        </w:rPr>
        <w:t>一、交易信息</w:t>
      </w:r>
    </w:p>
    <w:tbl>
      <w:tblPr>
        <w:tblStyle w:val="6"/>
        <w:tblW w:w="0" w:type="auto"/>
        <w:tblInd w:w="178"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autofit"/>
        <w:tblCellMar>
          <w:top w:w="0" w:type="dxa"/>
          <w:left w:w="108" w:type="dxa"/>
          <w:bottom w:w="0" w:type="dxa"/>
          <w:right w:w="108" w:type="dxa"/>
        </w:tblCellMar>
      </w:tblPr>
      <w:tblGrid>
        <w:gridCol w:w="1631"/>
        <w:gridCol w:w="3675"/>
        <w:gridCol w:w="1782"/>
        <w:gridCol w:w="3250"/>
      </w:tblGrid>
      <w:tr w14:paraId="577A0D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80" w:hRule="atLeast"/>
        </w:trPr>
        <w:tc>
          <w:tcPr>
            <w:tcW w:w="1631" w:type="dxa"/>
            <w:tcBorders>
              <w:tl2br w:val="nil"/>
              <w:tr2bl w:val="nil"/>
            </w:tcBorders>
            <w:vAlign w:val="center"/>
          </w:tcPr>
          <w:p w14:paraId="28D7ADC8">
            <w:pPr>
              <w:ind w:left="0" w:leftChars="0" w:firstLine="0" w:firstLineChars="0"/>
              <w:jc w:val="center"/>
              <w:rPr>
                <w:b/>
                <w:sz w:val="24"/>
                <w:szCs w:val="24"/>
              </w:rPr>
            </w:pPr>
            <w:r>
              <w:rPr>
                <w:rFonts w:hint="eastAsia"/>
                <w:b/>
                <w:sz w:val="24"/>
                <w:szCs w:val="24"/>
              </w:rPr>
              <w:t>交易单位</w:t>
            </w:r>
          </w:p>
        </w:tc>
        <w:tc>
          <w:tcPr>
            <w:tcW w:w="3675" w:type="dxa"/>
            <w:tcBorders>
              <w:tl2br w:val="nil"/>
              <w:tr2bl w:val="nil"/>
            </w:tcBorders>
            <w:vAlign w:val="center"/>
          </w:tcPr>
          <w:p w14:paraId="56D4FB92">
            <w:pPr>
              <w:ind w:left="0" w:leftChars="0" w:firstLine="0" w:firstLineChars="0"/>
              <w:jc w:val="center"/>
              <w:rPr>
                <w:sz w:val="24"/>
                <w:szCs w:val="24"/>
              </w:rPr>
            </w:pPr>
            <w:bookmarkStart w:id="0" w:name="_GoBack"/>
            <w:r>
              <w:rPr>
                <w:rFonts w:hint="eastAsia"/>
                <w:sz w:val="24"/>
                <w:szCs w:val="24"/>
                <w:lang w:val="en-US" w:eastAsia="zh-CN"/>
              </w:rPr>
              <w:t>陕</w:t>
            </w:r>
            <w:r>
              <w:rPr>
                <w:rFonts w:hint="eastAsia"/>
                <w:sz w:val="24"/>
                <w:szCs w:val="24"/>
              </w:rPr>
              <w:t>煤运销集团</w:t>
            </w:r>
            <w:r>
              <w:rPr>
                <w:rFonts w:hint="eastAsia"/>
                <w:sz w:val="24"/>
                <w:szCs w:val="24"/>
                <w:lang w:val="en-US" w:eastAsia="zh-CN"/>
              </w:rPr>
              <w:t>蒲白</w:t>
            </w:r>
            <w:r>
              <w:rPr>
                <w:rFonts w:hint="eastAsia"/>
                <w:sz w:val="24"/>
                <w:szCs w:val="24"/>
              </w:rPr>
              <w:t>分公司</w:t>
            </w:r>
            <w:bookmarkEnd w:id="0"/>
          </w:p>
        </w:tc>
        <w:tc>
          <w:tcPr>
            <w:tcW w:w="1782" w:type="dxa"/>
            <w:tcBorders>
              <w:tl2br w:val="nil"/>
              <w:tr2bl w:val="nil"/>
            </w:tcBorders>
            <w:vAlign w:val="center"/>
          </w:tcPr>
          <w:p w14:paraId="57E9F3A3">
            <w:pPr>
              <w:ind w:left="0" w:leftChars="0" w:firstLine="0" w:firstLineChars="0"/>
              <w:jc w:val="center"/>
              <w:rPr>
                <w:b/>
                <w:sz w:val="24"/>
                <w:szCs w:val="24"/>
              </w:rPr>
            </w:pPr>
            <w:r>
              <w:rPr>
                <w:rFonts w:hint="eastAsia"/>
                <w:b/>
                <w:sz w:val="24"/>
                <w:szCs w:val="24"/>
              </w:rPr>
              <w:t>交易日期</w:t>
            </w:r>
          </w:p>
        </w:tc>
        <w:tc>
          <w:tcPr>
            <w:tcW w:w="3250" w:type="dxa"/>
            <w:tcBorders>
              <w:tl2br w:val="nil"/>
              <w:tr2bl w:val="nil"/>
            </w:tcBorders>
            <w:vAlign w:val="center"/>
          </w:tcPr>
          <w:p w14:paraId="6DC429E2">
            <w:pPr>
              <w:ind w:left="0" w:leftChars="0" w:firstLine="0" w:firstLineChars="0"/>
              <w:jc w:val="center"/>
              <w:rPr>
                <w:sz w:val="24"/>
                <w:szCs w:val="24"/>
              </w:rPr>
            </w:pPr>
            <w:r>
              <w:rPr>
                <w:rFonts w:hint="eastAsia"/>
                <w:sz w:val="24"/>
                <w:szCs w:val="24"/>
              </w:rPr>
              <w:t>202</w:t>
            </w:r>
            <w:r>
              <w:rPr>
                <w:rFonts w:hint="eastAsia"/>
                <w:sz w:val="24"/>
                <w:szCs w:val="24"/>
                <w:lang w:val="en-US" w:eastAsia="zh-CN"/>
              </w:rPr>
              <w:t>5</w:t>
            </w:r>
            <w:r>
              <w:rPr>
                <w:rFonts w:hint="eastAsia"/>
                <w:sz w:val="24"/>
                <w:szCs w:val="24"/>
              </w:rPr>
              <w:t>年</w:t>
            </w:r>
            <w:r>
              <w:rPr>
                <w:rFonts w:hint="eastAsia"/>
                <w:sz w:val="24"/>
                <w:szCs w:val="24"/>
                <w:lang w:val="en-US" w:eastAsia="zh-CN"/>
              </w:rPr>
              <w:t>11</w:t>
            </w:r>
            <w:r>
              <w:rPr>
                <w:rFonts w:hint="eastAsia"/>
                <w:sz w:val="24"/>
                <w:szCs w:val="24"/>
              </w:rPr>
              <w:t>月</w:t>
            </w:r>
            <w:r>
              <w:rPr>
                <w:rFonts w:hint="eastAsia"/>
                <w:sz w:val="24"/>
                <w:szCs w:val="24"/>
                <w:lang w:val="en-US" w:eastAsia="zh-CN"/>
              </w:rPr>
              <w:t>20</w:t>
            </w:r>
            <w:r>
              <w:rPr>
                <w:rFonts w:hint="eastAsia"/>
                <w:sz w:val="24"/>
                <w:szCs w:val="24"/>
              </w:rPr>
              <w:t>日</w:t>
            </w:r>
          </w:p>
        </w:tc>
      </w:tr>
      <w:tr w14:paraId="6CB9BA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75" w:hRule="atLeast"/>
        </w:trPr>
        <w:tc>
          <w:tcPr>
            <w:tcW w:w="1631" w:type="dxa"/>
            <w:tcBorders>
              <w:tl2br w:val="nil"/>
              <w:tr2bl w:val="nil"/>
            </w:tcBorders>
            <w:vAlign w:val="center"/>
          </w:tcPr>
          <w:p w14:paraId="3553FA81">
            <w:pPr>
              <w:ind w:left="0" w:leftChars="0" w:firstLine="0" w:firstLineChars="0"/>
              <w:jc w:val="center"/>
              <w:rPr>
                <w:b/>
                <w:sz w:val="24"/>
                <w:szCs w:val="24"/>
              </w:rPr>
            </w:pPr>
            <w:r>
              <w:rPr>
                <w:rFonts w:hint="eastAsia"/>
                <w:b/>
                <w:sz w:val="24"/>
                <w:szCs w:val="24"/>
              </w:rPr>
              <w:t>矿</w:t>
            </w:r>
            <w:r>
              <w:rPr>
                <w:rFonts w:hint="eastAsia"/>
                <w:b/>
                <w:sz w:val="24"/>
                <w:szCs w:val="24"/>
                <w:lang w:val="en-US" w:eastAsia="zh-CN"/>
              </w:rPr>
              <w:t xml:space="preserve">    </w:t>
            </w:r>
            <w:r>
              <w:rPr>
                <w:rFonts w:hint="eastAsia"/>
                <w:b/>
                <w:sz w:val="24"/>
                <w:szCs w:val="24"/>
              </w:rPr>
              <w:t>区</w:t>
            </w:r>
          </w:p>
        </w:tc>
        <w:tc>
          <w:tcPr>
            <w:tcW w:w="3675" w:type="dxa"/>
            <w:tcBorders>
              <w:tl2br w:val="nil"/>
              <w:tr2bl w:val="nil"/>
            </w:tcBorders>
            <w:vAlign w:val="center"/>
          </w:tcPr>
          <w:p w14:paraId="763B24A7">
            <w:pPr>
              <w:ind w:left="0" w:leftChars="0" w:firstLine="0" w:firstLineChars="0"/>
              <w:jc w:val="center"/>
              <w:rPr>
                <w:rFonts w:hint="default" w:eastAsia="仿宋"/>
                <w:sz w:val="24"/>
                <w:szCs w:val="24"/>
                <w:lang w:val="en-US" w:eastAsia="zh-CN"/>
              </w:rPr>
            </w:pPr>
            <w:r>
              <w:rPr>
                <w:rFonts w:hint="eastAsia"/>
                <w:sz w:val="24"/>
                <w:szCs w:val="24"/>
                <w:lang w:val="en-US" w:eastAsia="zh-CN"/>
              </w:rPr>
              <w:t>建庄矿</w:t>
            </w:r>
          </w:p>
        </w:tc>
        <w:tc>
          <w:tcPr>
            <w:tcW w:w="1782" w:type="dxa"/>
            <w:tcBorders>
              <w:tl2br w:val="nil"/>
              <w:tr2bl w:val="nil"/>
            </w:tcBorders>
            <w:vAlign w:val="center"/>
          </w:tcPr>
          <w:p w14:paraId="54108DB9">
            <w:pPr>
              <w:ind w:left="0" w:leftChars="0" w:firstLine="0" w:firstLineChars="0"/>
              <w:jc w:val="center"/>
              <w:rPr>
                <w:b/>
                <w:sz w:val="24"/>
                <w:szCs w:val="24"/>
              </w:rPr>
            </w:pPr>
            <w:r>
              <w:rPr>
                <w:rFonts w:hint="eastAsia"/>
                <w:b/>
                <w:sz w:val="24"/>
                <w:szCs w:val="24"/>
              </w:rPr>
              <w:t>交 货 地</w:t>
            </w:r>
          </w:p>
        </w:tc>
        <w:tc>
          <w:tcPr>
            <w:tcW w:w="3250" w:type="dxa"/>
            <w:tcBorders>
              <w:tl2br w:val="nil"/>
              <w:tr2bl w:val="nil"/>
            </w:tcBorders>
            <w:vAlign w:val="center"/>
          </w:tcPr>
          <w:p w14:paraId="01B8E991">
            <w:pPr>
              <w:ind w:left="0" w:leftChars="0" w:firstLine="0" w:firstLineChars="0"/>
              <w:jc w:val="center"/>
              <w:rPr>
                <w:sz w:val="24"/>
                <w:szCs w:val="24"/>
              </w:rPr>
            </w:pPr>
            <w:r>
              <w:rPr>
                <w:rFonts w:hint="eastAsia"/>
                <w:sz w:val="24"/>
                <w:szCs w:val="24"/>
                <w:lang w:val="en-US" w:eastAsia="zh-CN"/>
              </w:rPr>
              <w:t xml:space="preserve">建庄矿 </w:t>
            </w:r>
          </w:p>
        </w:tc>
      </w:tr>
      <w:tr w14:paraId="2B8B54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90" w:hRule="atLeast"/>
        </w:trPr>
        <w:tc>
          <w:tcPr>
            <w:tcW w:w="1631" w:type="dxa"/>
            <w:tcBorders>
              <w:tl2br w:val="nil"/>
              <w:tr2bl w:val="nil"/>
            </w:tcBorders>
            <w:vAlign w:val="center"/>
          </w:tcPr>
          <w:p w14:paraId="5EE56202">
            <w:pPr>
              <w:ind w:left="0" w:leftChars="0" w:firstLine="0" w:firstLineChars="0"/>
              <w:jc w:val="center"/>
              <w:rPr>
                <w:b/>
                <w:sz w:val="24"/>
                <w:szCs w:val="24"/>
              </w:rPr>
            </w:pPr>
            <w:r>
              <w:rPr>
                <w:rFonts w:hint="eastAsia"/>
                <w:b/>
                <w:sz w:val="24"/>
                <w:szCs w:val="24"/>
              </w:rPr>
              <w:t>交易总量</w:t>
            </w:r>
          </w:p>
        </w:tc>
        <w:tc>
          <w:tcPr>
            <w:tcW w:w="3675" w:type="dxa"/>
            <w:tcBorders>
              <w:tl2br w:val="nil"/>
              <w:tr2bl w:val="nil"/>
            </w:tcBorders>
            <w:vAlign w:val="center"/>
          </w:tcPr>
          <w:p w14:paraId="4CAA3C82">
            <w:pPr>
              <w:ind w:left="0" w:leftChars="0" w:firstLine="0" w:firstLineChars="0"/>
              <w:jc w:val="center"/>
              <w:rPr>
                <w:sz w:val="24"/>
                <w:szCs w:val="24"/>
              </w:rPr>
            </w:pPr>
            <w:r>
              <w:rPr>
                <w:rFonts w:hint="eastAsia"/>
                <w:color w:val="auto"/>
                <w:sz w:val="24"/>
                <w:szCs w:val="24"/>
                <w:lang w:val="en-US" w:eastAsia="zh-CN"/>
              </w:rPr>
              <w:t>77000吨</w:t>
            </w:r>
          </w:p>
        </w:tc>
        <w:tc>
          <w:tcPr>
            <w:tcW w:w="1782" w:type="dxa"/>
            <w:tcBorders>
              <w:tl2br w:val="nil"/>
              <w:tr2bl w:val="nil"/>
            </w:tcBorders>
            <w:vAlign w:val="center"/>
          </w:tcPr>
          <w:p w14:paraId="10DCA418">
            <w:pPr>
              <w:ind w:left="0" w:leftChars="0" w:firstLine="0" w:firstLineChars="0"/>
              <w:jc w:val="center"/>
              <w:rPr>
                <w:b/>
                <w:sz w:val="24"/>
                <w:szCs w:val="24"/>
              </w:rPr>
            </w:pPr>
            <w:r>
              <w:rPr>
                <w:rFonts w:hint="eastAsia"/>
                <w:b/>
                <w:sz w:val="24"/>
                <w:szCs w:val="24"/>
              </w:rPr>
              <w:t>运输方式</w:t>
            </w:r>
          </w:p>
        </w:tc>
        <w:tc>
          <w:tcPr>
            <w:tcW w:w="3250" w:type="dxa"/>
            <w:tcBorders>
              <w:tl2br w:val="nil"/>
              <w:tr2bl w:val="nil"/>
            </w:tcBorders>
            <w:vAlign w:val="center"/>
          </w:tcPr>
          <w:p w14:paraId="7DF8D1D9">
            <w:pPr>
              <w:ind w:left="0" w:leftChars="0" w:firstLine="0" w:firstLineChars="0"/>
              <w:jc w:val="center"/>
              <w:rPr>
                <w:sz w:val="24"/>
                <w:szCs w:val="24"/>
              </w:rPr>
            </w:pPr>
            <w:r>
              <w:rPr>
                <w:rFonts w:hint="eastAsia"/>
                <w:sz w:val="24"/>
                <w:szCs w:val="24"/>
              </w:rPr>
              <w:t>公路</w:t>
            </w:r>
          </w:p>
        </w:tc>
      </w:tr>
      <w:tr w14:paraId="4960C5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80" w:hRule="atLeast"/>
        </w:trPr>
        <w:tc>
          <w:tcPr>
            <w:tcW w:w="1631" w:type="dxa"/>
            <w:tcBorders>
              <w:tl2br w:val="nil"/>
              <w:tr2bl w:val="nil"/>
            </w:tcBorders>
            <w:vAlign w:val="center"/>
          </w:tcPr>
          <w:p w14:paraId="39DB50C7">
            <w:pPr>
              <w:ind w:left="0" w:leftChars="0" w:firstLine="0" w:firstLineChars="0"/>
              <w:jc w:val="center"/>
              <w:rPr>
                <w:b/>
                <w:sz w:val="24"/>
                <w:szCs w:val="24"/>
              </w:rPr>
            </w:pPr>
            <w:r>
              <w:rPr>
                <w:rFonts w:hint="eastAsia"/>
                <w:b/>
                <w:sz w:val="24"/>
                <w:szCs w:val="24"/>
              </w:rPr>
              <w:t>交易时间</w:t>
            </w:r>
          </w:p>
        </w:tc>
        <w:tc>
          <w:tcPr>
            <w:tcW w:w="3675" w:type="dxa"/>
            <w:tcBorders>
              <w:tl2br w:val="nil"/>
              <w:tr2bl w:val="nil"/>
            </w:tcBorders>
            <w:vAlign w:val="center"/>
          </w:tcPr>
          <w:p w14:paraId="1CFB0649">
            <w:pPr>
              <w:ind w:left="0" w:leftChars="0" w:firstLine="0" w:firstLineChars="0"/>
              <w:jc w:val="center"/>
              <w:rPr>
                <w:rFonts w:hint="default" w:eastAsia="仿宋"/>
                <w:sz w:val="24"/>
                <w:szCs w:val="24"/>
                <w:lang w:val="en-US" w:eastAsia="zh-CN"/>
              </w:rPr>
            </w:pPr>
            <w:r>
              <w:rPr>
                <w:rFonts w:hint="eastAsia"/>
                <w:color w:val="auto"/>
                <w:sz w:val="24"/>
                <w:szCs w:val="24"/>
                <w:lang w:val="en-US" w:eastAsia="zh-CN"/>
              </w:rPr>
              <w:t>9</w:t>
            </w:r>
            <w:r>
              <w:rPr>
                <w:rFonts w:hint="eastAsia"/>
                <w:color w:val="auto"/>
                <w:sz w:val="24"/>
                <w:szCs w:val="24"/>
              </w:rPr>
              <w:t>:</w:t>
            </w:r>
            <w:r>
              <w:rPr>
                <w:rFonts w:hint="eastAsia"/>
                <w:color w:val="auto"/>
                <w:sz w:val="24"/>
                <w:szCs w:val="24"/>
                <w:lang w:val="en-US" w:eastAsia="zh-CN"/>
              </w:rPr>
              <w:t>00</w:t>
            </w:r>
            <w:r>
              <w:rPr>
                <w:rFonts w:hint="eastAsia"/>
                <w:color w:val="auto"/>
                <w:sz w:val="24"/>
                <w:szCs w:val="24"/>
              </w:rPr>
              <w:t>-</w:t>
            </w:r>
            <w:r>
              <w:rPr>
                <w:rFonts w:hint="eastAsia"/>
                <w:color w:val="auto"/>
                <w:sz w:val="24"/>
                <w:szCs w:val="24"/>
                <w:lang w:val="en-US" w:eastAsia="zh-CN"/>
              </w:rPr>
              <w:t>10</w:t>
            </w:r>
            <w:r>
              <w:rPr>
                <w:rFonts w:hint="eastAsia"/>
                <w:color w:val="auto"/>
                <w:sz w:val="24"/>
                <w:szCs w:val="24"/>
              </w:rPr>
              <w:t>:</w:t>
            </w:r>
            <w:r>
              <w:rPr>
                <w:rFonts w:hint="eastAsia"/>
                <w:color w:val="auto"/>
                <w:sz w:val="24"/>
                <w:szCs w:val="24"/>
                <w:lang w:val="en-US" w:eastAsia="zh-CN"/>
              </w:rPr>
              <w:t>00</w:t>
            </w:r>
          </w:p>
        </w:tc>
        <w:tc>
          <w:tcPr>
            <w:tcW w:w="1782" w:type="dxa"/>
            <w:tcBorders>
              <w:tl2br w:val="nil"/>
              <w:tr2bl w:val="nil"/>
            </w:tcBorders>
            <w:vAlign w:val="center"/>
          </w:tcPr>
          <w:p w14:paraId="0665BBF5">
            <w:pPr>
              <w:ind w:left="0" w:leftChars="0" w:firstLine="0" w:firstLineChars="0"/>
              <w:jc w:val="center"/>
              <w:rPr>
                <w:b/>
                <w:sz w:val="24"/>
                <w:szCs w:val="24"/>
              </w:rPr>
            </w:pPr>
            <w:r>
              <w:rPr>
                <w:rFonts w:hint="eastAsia"/>
                <w:b/>
                <w:sz w:val="24"/>
                <w:szCs w:val="24"/>
              </w:rPr>
              <w:t>销售/采购</w:t>
            </w:r>
          </w:p>
        </w:tc>
        <w:tc>
          <w:tcPr>
            <w:tcW w:w="3250" w:type="dxa"/>
            <w:tcBorders>
              <w:tl2br w:val="nil"/>
              <w:tr2bl w:val="nil"/>
            </w:tcBorders>
            <w:vAlign w:val="center"/>
          </w:tcPr>
          <w:p w14:paraId="22B9EB0F">
            <w:pPr>
              <w:ind w:left="0" w:leftChars="0" w:firstLine="0" w:firstLineChars="0"/>
              <w:jc w:val="center"/>
              <w:rPr>
                <w:sz w:val="24"/>
                <w:szCs w:val="24"/>
              </w:rPr>
            </w:pPr>
            <w:r>
              <w:rPr>
                <w:rFonts w:hint="eastAsia"/>
                <w:sz w:val="24"/>
                <w:szCs w:val="24"/>
              </w:rPr>
              <w:t>销售</w:t>
            </w:r>
          </w:p>
        </w:tc>
      </w:tr>
      <w:tr w14:paraId="144290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80" w:hRule="atLeast"/>
        </w:trPr>
        <w:tc>
          <w:tcPr>
            <w:tcW w:w="1631" w:type="dxa"/>
            <w:tcBorders>
              <w:tl2br w:val="nil"/>
              <w:tr2bl w:val="nil"/>
            </w:tcBorders>
            <w:vAlign w:val="center"/>
          </w:tcPr>
          <w:p w14:paraId="79452361">
            <w:pPr>
              <w:ind w:left="0" w:leftChars="0" w:firstLine="0" w:firstLineChars="0"/>
              <w:jc w:val="center"/>
              <w:rPr>
                <w:b/>
                <w:sz w:val="24"/>
                <w:szCs w:val="24"/>
              </w:rPr>
            </w:pPr>
            <w:r>
              <w:rPr>
                <w:rFonts w:hint="eastAsia"/>
                <w:b/>
                <w:sz w:val="24"/>
                <w:szCs w:val="24"/>
              </w:rPr>
              <w:t>交易模式</w:t>
            </w:r>
          </w:p>
        </w:tc>
        <w:tc>
          <w:tcPr>
            <w:tcW w:w="3675" w:type="dxa"/>
            <w:tcBorders>
              <w:tl2br w:val="nil"/>
              <w:tr2bl w:val="nil"/>
            </w:tcBorders>
            <w:vAlign w:val="center"/>
          </w:tcPr>
          <w:p w14:paraId="6DD21319">
            <w:pPr>
              <w:ind w:left="0" w:leftChars="0" w:firstLine="0" w:firstLineChars="0"/>
              <w:jc w:val="center"/>
              <w:rPr>
                <w:rFonts w:hint="default" w:eastAsia="仿宋"/>
                <w:sz w:val="24"/>
                <w:szCs w:val="24"/>
                <w:lang w:val="en-US" w:eastAsia="zh-CN"/>
              </w:rPr>
            </w:pPr>
            <w:r>
              <w:rPr>
                <w:rFonts w:hint="eastAsia"/>
                <w:sz w:val="24"/>
                <w:szCs w:val="24"/>
                <w:lang w:val="en-US" w:eastAsia="zh-CN"/>
              </w:rPr>
              <w:t>二轮报价</w:t>
            </w:r>
          </w:p>
        </w:tc>
        <w:tc>
          <w:tcPr>
            <w:tcW w:w="1782" w:type="dxa"/>
            <w:tcBorders>
              <w:tl2br w:val="nil"/>
              <w:tr2bl w:val="nil"/>
            </w:tcBorders>
            <w:vAlign w:val="center"/>
          </w:tcPr>
          <w:p w14:paraId="5BC3CE5F">
            <w:pPr>
              <w:ind w:left="0" w:leftChars="0" w:firstLine="0" w:firstLineChars="0"/>
              <w:jc w:val="center"/>
              <w:rPr>
                <w:b/>
                <w:sz w:val="24"/>
                <w:szCs w:val="24"/>
              </w:rPr>
            </w:pPr>
            <w:r>
              <w:rPr>
                <w:rFonts w:hint="eastAsia"/>
                <w:b/>
                <w:sz w:val="24"/>
                <w:szCs w:val="24"/>
              </w:rPr>
              <w:t>公开/专场</w:t>
            </w:r>
          </w:p>
        </w:tc>
        <w:tc>
          <w:tcPr>
            <w:tcW w:w="3250" w:type="dxa"/>
            <w:tcBorders>
              <w:tl2br w:val="nil"/>
              <w:tr2bl w:val="nil"/>
            </w:tcBorders>
            <w:vAlign w:val="center"/>
          </w:tcPr>
          <w:p w14:paraId="5907C672">
            <w:pPr>
              <w:ind w:left="0" w:leftChars="0" w:firstLine="0" w:firstLineChars="0"/>
              <w:jc w:val="center"/>
              <w:rPr>
                <w:sz w:val="24"/>
                <w:szCs w:val="24"/>
              </w:rPr>
            </w:pPr>
            <w:r>
              <w:rPr>
                <w:rFonts w:hint="eastAsia"/>
                <w:sz w:val="24"/>
                <w:szCs w:val="24"/>
              </w:rPr>
              <w:t>公开</w:t>
            </w:r>
          </w:p>
        </w:tc>
      </w:tr>
      <w:tr w14:paraId="4242D5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80" w:hRule="atLeast"/>
        </w:trPr>
        <w:tc>
          <w:tcPr>
            <w:tcW w:w="1631" w:type="dxa"/>
            <w:tcBorders>
              <w:tl2br w:val="nil"/>
              <w:tr2bl w:val="nil"/>
            </w:tcBorders>
            <w:vAlign w:val="center"/>
          </w:tcPr>
          <w:p w14:paraId="31EBD33F">
            <w:pPr>
              <w:ind w:left="0" w:leftChars="0" w:firstLine="0" w:firstLineChars="0"/>
              <w:jc w:val="center"/>
              <w:rPr>
                <w:b/>
                <w:sz w:val="24"/>
                <w:szCs w:val="24"/>
              </w:rPr>
            </w:pPr>
            <w:r>
              <w:rPr>
                <w:rFonts w:hint="eastAsia"/>
                <w:b/>
                <w:sz w:val="24"/>
                <w:szCs w:val="24"/>
              </w:rPr>
              <w:t>交易保证金</w:t>
            </w:r>
          </w:p>
        </w:tc>
        <w:tc>
          <w:tcPr>
            <w:tcW w:w="3675" w:type="dxa"/>
            <w:tcBorders>
              <w:tl2br w:val="nil"/>
              <w:tr2bl w:val="nil"/>
            </w:tcBorders>
            <w:vAlign w:val="center"/>
          </w:tcPr>
          <w:p w14:paraId="2ED799C7">
            <w:pPr>
              <w:ind w:left="0" w:leftChars="0" w:firstLine="0" w:firstLineChars="0"/>
              <w:jc w:val="center"/>
              <w:rPr>
                <w:sz w:val="24"/>
                <w:szCs w:val="24"/>
              </w:rPr>
            </w:pPr>
            <w:r>
              <w:rPr>
                <w:rFonts w:hint="eastAsia"/>
                <w:sz w:val="24"/>
                <w:szCs w:val="24"/>
                <w:lang w:val="en-US" w:eastAsia="zh-CN" w:bidi="ar"/>
              </w:rPr>
              <w:t>起拍价*购买量*10%</w:t>
            </w:r>
          </w:p>
        </w:tc>
        <w:tc>
          <w:tcPr>
            <w:tcW w:w="1782" w:type="dxa"/>
            <w:tcBorders>
              <w:tl2br w:val="nil"/>
              <w:tr2bl w:val="nil"/>
            </w:tcBorders>
            <w:vAlign w:val="center"/>
          </w:tcPr>
          <w:p w14:paraId="6571945C">
            <w:pPr>
              <w:ind w:left="0" w:leftChars="0" w:firstLine="0" w:firstLineChars="0"/>
              <w:jc w:val="center"/>
              <w:rPr>
                <w:b/>
                <w:sz w:val="24"/>
                <w:szCs w:val="24"/>
              </w:rPr>
            </w:pPr>
            <w:r>
              <w:rPr>
                <w:rFonts w:hint="eastAsia"/>
                <w:b/>
                <w:sz w:val="24"/>
                <w:szCs w:val="24"/>
              </w:rPr>
              <w:t>履约保证金</w:t>
            </w:r>
          </w:p>
        </w:tc>
        <w:tc>
          <w:tcPr>
            <w:tcW w:w="3250" w:type="dxa"/>
            <w:tcBorders>
              <w:tl2br w:val="nil"/>
              <w:tr2bl w:val="nil"/>
            </w:tcBorders>
            <w:vAlign w:val="center"/>
          </w:tcPr>
          <w:p w14:paraId="68306646">
            <w:pPr>
              <w:ind w:left="0" w:leftChars="0" w:firstLine="0" w:firstLineChars="0"/>
              <w:jc w:val="center"/>
              <w:rPr>
                <w:sz w:val="24"/>
                <w:szCs w:val="24"/>
              </w:rPr>
            </w:pPr>
            <w:r>
              <w:rPr>
                <w:rFonts w:hint="eastAsia"/>
                <w:sz w:val="24"/>
                <w:szCs w:val="24"/>
                <w:lang w:val="en-US" w:eastAsia="zh-CN" w:bidi="ar"/>
              </w:rPr>
              <w:t>起拍价*购买量*10%</w:t>
            </w:r>
          </w:p>
        </w:tc>
      </w:tr>
      <w:tr w14:paraId="539754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05" w:hRule="atLeast"/>
        </w:trPr>
        <w:tc>
          <w:tcPr>
            <w:tcW w:w="1631" w:type="dxa"/>
            <w:tcBorders>
              <w:tl2br w:val="nil"/>
              <w:tr2bl w:val="nil"/>
            </w:tcBorders>
            <w:vAlign w:val="center"/>
          </w:tcPr>
          <w:p w14:paraId="6FAFDC33">
            <w:pPr>
              <w:ind w:left="0" w:leftChars="0" w:firstLine="0" w:firstLineChars="0"/>
              <w:jc w:val="center"/>
              <w:rPr>
                <w:rFonts w:hint="eastAsia"/>
                <w:b/>
                <w:sz w:val="24"/>
                <w:szCs w:val="24"/>
              </w:rPr>
            </w:pPr>
            <w:r>
              <w:rPr>
                <w:rFonts w:hint="eastAsia"/>
                <w:b/>
                <w:sz w:val="24"/>
                <w:szCs w:val="24"/>
                <w:lang w:val="en-US" w:eastAsia="zh-CN"/>
              </w:rPr>
              <w:t>发货单位</w:t>
            </w:r>
          </w:p>
        </w:tc>
        <w:tc>
          <w:tcPr>
            <w:tcW w:w="8707" w:type="dxa"/>
            <w:gridSpan w:val="3"/>
            <w:tcBorders>
              <w:tl2br w:val="nil"/>
              <w:tr2bl w:val="nil"/>
            </w:tcBorders>
            <w:vAlign w:val="center"/>
          </w:tcPr>
          <w:p w14:paraId="549F420D">
            <w:pPr>
              <w:ind w:left="0" w:leftChars="0" w:firstLine="0" w:firstLineChars="0"/>
              <w:jc w:val="center"/>
              <w:rPr>
                <w:rFonts w:hint="eastAsia"/>
                <w:sz w:val="24"/>
                <w:szCs w:val="24"/>
              </w:rPr>
            </w:pPr>
            <w:r>
              <w:rPr>
                <w:rFonts w:hint="eastAsia"/>
                <w:sz w:val="24"/>
                <w:szCs w:val="24"/>
                <w:lang w:val="en-US" w:eastAsia="zh-CN"/>
              </w:rPr>
              <w:t>秦岭数字科技有限责任公司</w:t>
            </w:r>
          </w:p>
        </w:tc>
      </w:tr>
      <w:tr w14:paraId="6C4421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75" w:hRule="atLeast"/>
        </w:trPr>
        <w:tc>
          <w:tcPr>
            <w:tcW w:w="1631" w:type="dxa"/>
            <w:tcBorders>
              <w:tl2br w:val="nil"/>
              <w:tr2bl w:val="nil"/>
            </w:tcBorders>
            <w:vAlign w:val="center"/>
          </w:tcPr>
          <w:p w14:paraId="6D174FB5">
            <w:pPr>
              <w:ind w:left="0" w:leftChars="0" w:firstLine="0" w:firstLineChars="0"/>
              <w:jc w:val="center"/>
              <w:rPr>
                <w:b/>
                <w:sz w:val="24"/>
                <w:szCs w:val="24"/>
              </w:rPr>
            </w:pPr>
            <w:r>
              <w:rPr>
                <w:rFonts w:hint="eastAsia"/>
                <w:b/>
                <w:sz w:val="24"/>
                <w:szCs w:val="24"/>
              </w:rPr>
              <w:t>交货周期</w:t>
            </w:r>
          </w:p>
        </w:tc>
        <w:tc>
          <w:tcPr>
            <w:tcW w:w="8707" w:type="dxa"/>
            <w:gridSpan w:val="3"/>
            <w:tcBorders>
              <w:tl2br w:val="nil"/>
              <w:tr2bl w:val="nil"/>
            </w:tcBorders>
            <w:vAlign w:val="center"/>
          </w:tcPr>
          <w:p w14:paraId="512F5DF7">
            <w:pPr>
              <w:ind w:left="0" w:leftChars="0" w:firstLine="0" w:firstLineChars="0"/>
              <w:jc w:val="center"/>
              <w:rPr>
                <w:sz w:val="24"/>
                <w:szCs w:val="24"/>
              </w:rPr>
            </w:pPr>
            <w:r>
              <w:rPr>
                <w:rFonts w:hint="eastAsia"/>
                <w:sz w:val="24"/>
                <w:szCs w:val="24"/>
              </w:rPr>
              <w:t>起：202</w:t>
            </w:r>
            <w:r>
              <w:rPr>
                <w:rFonts w:hint="eastAsia"/>
                <w:sz w:val="24"/>
                <w:szCs w:val="24"/>
                <w:lang w:val="en-US" w:eastAsia="zh-CN"/>
              </w:rPr>
              <w:t>5</w:t>
            </w:r>
            <w:r>
              <w:rPr>
                <w:rFonts w:hint="eastAsia"/>
                <w:sz w:val="24"/>
                <w:szCs w:val="24"/>
              </w:rPr>
              <w:t>年</w:t>
            </w:r>
            <w:r>
              <w:rPr>
                <w:rFonts w:hint="eastAsia"/>
                <w:sz w:val="24"/>
                <w:szCs w:val="24"/>
                <w:lang w:val="en-US" w:eastAsia="zh-CN"/>
              </w:rPr>
              <w:t>11</w:t>
            </w:r>
            <w:r>
              <w:rPr>
                <w:rFonts w:hint="eastAsia"/>
                <w:sz w:val="24"/>
                <w:szCs w:val="24"/>
              </w:rPr>
              <w:t>月</w:t>
            </w:r>
            <w:r>
              <w:rPr>
                <w:rFonts w:hint="eastAsia"/>
                <w:sz w:val="24"/>
                <w:szCs w:val="24"/>
                <w:lang w:val="en-US" w:eastAsia="zh-CN"/>
              </w:rPr>
              <w:t>21</w:t>
            </w:r>
            <w:r>
              <w:rPr>
                <w:rFonts w:hint="eastAsia"/>
                <w:sz w:val="24"/>
                <w:szCs w:val="24"/>
              </w:rPr>
              <w:t>日止：202</w:t>
            </w:r>
            <w:r>
              <w:rPr>
                <w:rFonts w:hint="eastAsia"/>
                <w:sz w:val="24"/>
                <w:szCs w:val="24"/>
                <w:lang w:val="en-US" w:eastAsia="zh-CN"/>
              </w:rPr>
              <w:t>5</w:t>
            </w:r>
            <w:r>
              <w:rPr>
                <w:rFonts w:hint="eastAsia"/>
                <w:sz w:val="24"/>
                <w:szCs w:val="24"/>
              </w:rPr>
              <w:t>年</w:t>
            </w:r>
            <w:r>
              <w:rPr>
                <w:rFonts w:hint="eastAsia"/>
                <w:sz w:val="24"/>
                <w:szCs w:val="24"/>
                <w:lang w:val="en-US" w:eastAsia="zh-CN"/>
              </w:rPr>
              <w:t>11</w:t>
            </w:r>
            <w:r>
              <w:rPr>
                <w:rFonts w:hint="eastAsia"/>
                <w:sz w:val="24"/>
                <w:szCs w:val="24"/>
              </w:rPr>
              <w:t>月</w:t>
            </w:r>
            <w:r>
              <w:rPr>
                <w:rFonts w:hint="eastAsia"/>
                <w:sz w:val="24"/>
                <w:szCs w:val="24"/>
                <w:lang w:val="en-US" w:eastAsia="zh-CN"/>
              </w:rPr>
              <w:t>27</w:t>
            </w:r>
            <w:r>
              <w:rPr>
                <w:rFonts w:hint="eastAsia"/>
                <w:sz w:val="24"/>
                <w:szCs w:val="24"/>
              </w:rPr>
              <w:t>日</w:t>
            </w:r>
          </w:p>
        </w:tc>
      </w:tr>
      <w:tr w14:paraId="02BC68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90" w:hRule="atLeast"/>
        </w:trPr>
        <w:tc>
          <w:tcPr>
            <w:tcW w:w="1631" w:type="dxa"/>
            <w:tcBorders>
              <w:tl2br w:val="nil"/>
              <w:tr2bl w:val="nil"/>
            </w:tcBorders>
            <w:vAlign w:val="center"/>
          </w:tcPr>
          <w:p w14:paraId="2BE211DD">
            <w:pPr>
              <w:ind w:left="0" w:leftChars="0" w:firstLine="0" w:firstLineChars="0"/>
              <w:jc w:val="center"/>
              <w:rPr>
                <w:rFonts w:hint="eastAsia" w:eastAsia="仿宋"/>
                <w:b/>
                <w:sz w:val="24"/>
                <w:szCs w:val="24"/>
                <w:lang w:val="en-US" w:eastAsia="zh-CN"/>
              </w:rPr>
            </w:pPr>
            <w:r>
              <w:rPr>
                <w:rFonts w:hint="eastAsia"/>
                <w:b/>
                <w:sz w:val="24"/>
                <w:szCs w:val="24"/>
              </w:rPr>
              <w:t>参与</w:t>
            </w:r>
            <w:r>
              <w:rPr>
                <w:rFonts w:hint="eastAsia"/>
                <w:b/>
                <w:sz w:val="24"/>
                <w:szCs w:val="24"/>
                <w:lang w:eastAsia="zh-CN"/>
              </w:rPr>
              <w:t>方式</w:t>
            </w:r>
          </w:p>
        </w:tc>
        <w:tc>
          <w:tcPr>
            <w:tcW w:w="8707" w:type="dxa"/>
            <w:gridSpan w:val="3"/>
            <w:tcBorders>
              <w:tl2br w:val="nil"/>
              <w:tr2bl w:val="nil"/>
            </w:tcBorders>
            <w:vAlign w:val="center"/>
          </w:tcPr>
          <w:p w14:paraId="4BB64A0A">
            <w:pPr>
              <w:ind w:left="0" w:leftChars="0" w:firstLine="0" w:firstLineChars="0"/>
              <w:jc w:val="center"/>
              <w:rPr>
                <w:sz w:val="24"/>
                <w:szCs w:val="24"/>
              </w:rPr>
            </w:pPr>
            <w:r>
              <w:rPr>
                <w:rFonts w:hint="eastAsia"/>
                <w:sz w:val="24"/>
                <w:szCs w:val="24"/>
              </w:rPr>
              <w:t>西煤交易客户端</w:t>
            </w:r>
          </w:p>
        </w:tc>
      </w:tr>
    </w:tbl>
    <w:p w14:paraId="32C5A785">
      <w:pPr>
        <w:keepNext w:val="0"/>
        <w:keepLines w:val="0"/>
        <w:pageBreakBefore w:val="0"/>
        <w:widowControl w:val="0"/>
        <w:kinsoku/>
        <w:wordWrap/>
        <w:overflowPunct/>
        <w:topLinePunct w:val="0"/>
        <w:autoSpaceDE/>
        <w:autoSpaceDN/>
        <w:bidi w:val="0"/>
        <w:adjustRightInd/>
        <w:snapToGrid w:val="0"/>
        <w:spacing w:line="560" w:lineRule="exact"/>
        <w:ind w:firstLine="560" w:firstLineChars="200"/>
        <w:jc w:val="left"/>
        <w:textAlignment w:val="auto"/>
        <w:rPr>
          <w:rFonts w:hint="eastAsia" w:ascii="黑体" w:hAnsi="黑体" w:eastAsia="黑体"/>
          <w:sz w:val="28"/>
          <w:szCs w:val="28"/>
        </w:rPr>
      </w:pPr>
      <w:r>
        <w:rPr>
          <w:rFonts w:hint="eastAsia" w:ascii="黑体" w:hAnsi="黑体" w:eastAsia="黑体"/>
          <w:sz w:val="28"/>
          <w:szCs w:val="28"/>
        </w:rPr>
        <w:t>二、商品信息</w:t>
      </w:r>
    </w:p>
    <w:tbl>
      <w:tblPr>
        <w:tblStyle w:val="5"/>
        <w:tblW w:w="10589"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776"/>
        <w:gridCol w:w="1126"/>
        <w:gridCol w:w="1564"/>
        <w:gridCol w:w="2014"/>
        <w:gridCol w:w="1176"/>
        <w:gridCol w:w="2933"/>
      </w:tblGrid>
      <w:tr w14:paraId="0E38F8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4" w:hRule="atLeast"/>
        </w:trPr>
        <w:tc>
          <w:tcPr>
            <w:tcW w:w="17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DA49DD">
            <w:pPr>
              <w:keepNext w:val="0"/>
              <w:keepLines w:val="0"/>
              <w:widowControl/>
              <w:suppressLineNumbers w:val="0"/>
              <w:jc w:val="center"/>
              <w:textAlignment w:val="center"/>
              <w:rPr>
                <w:rFonts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场次</w:t>
            </w:r>
          </w:p>
        </w:tc>
        <w:tc>
          <w:tcPr>
            <w:tcW w:w="11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B95E0B">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煤矿</w:t>
            </w:r>
          </w:p>
        </w:tc>
        <w:tc>
          <w:tcPr>
            <w:tcW w:w="15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0EAB57">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品种</w:t>
            </w:r>
          </w:p>
        </w:tc>
        <w:tc>
          <w:tcPr>
            <w:tcW w:w="20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6BB207">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交易量（吨）</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F2CC20">
            <w:pPr>
              <w:keepNext w:val="0"/>
              <w:keepLines w:val="0"/>
              <w:widowControl/>
              <w:suppressLineNumbers w:val="0"/>
              <w:ind w:left="0" w:leftChars="0" w:firstLine="0" w:firstLineChars="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起拍价</w:t>
            </w:r>
            <w:r>
              <w:rPr>
                <w:rFonts w:hint="eastAsia" w:ascii="仿宋" w:hAnsi="仿宋" w:eastAsia="仿宋" w:cs="仿宋"/>
                <w:b/>
                <w:bCs/>
                <w:i w:val="0"/>
                <w:iCs w:val="0"/>
                <w:color w:val="000000"/>
                <w:kern w:val="0"/>
                <w:sz w:val="24"/>
                <w:szCs w:val="24"/>
                <w:u w:val="none"/>
                <w:lang w:val="en-US" w:eastAsia="zh-CN" w:bidi="ar"/>
              </w:rPr>
              <w:br w:type="textWrapping"/>
            </w:r>
            <w:r>
              <w:rPr>
                <w:rFonts w:hint="eastAsia" w:ascii="仿宋" w:hAnsi="仿宋" w:eastAsia="仿宋" w:cs="仿宋"/>
                <w:b/>
                <w:bCs/>
                <w:i w:val="0"/>
                <w:iCs w:val="0"/>
                <w:color w:val="000000"/>
                <w:kern w:val="0"/>
                <w:sz w:val="24"/>
                <w:szCs w:val="24"/>
                <w:u w:val="none"/>
                <w:lang w:val="en-US" w:eastAsia="zh-CN" w:bidi="ar"/>
              </w:rPr>
              <w:t>(元/吨)</w:t>
            </w:r>
          </w:p>
        </w:tc>
        <w:tc>
          <w:tcPr>
            <w:tcW w:w="29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6FE7F5">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b/>
                <w:sz w:val="24"/>
                <w:szCs w:val="24"/>
                <w:lang w:bidi="ar"/>
              </w:rPr>
              <w:t>质量指标</w:t>
            </w:r>
          </w:p>
        </w:tc>
      </w:tr>
      <w:tr w14:paraId="3358E9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2" w:hRule="atLeast"/>
        </w:trPr>
        <w:tc>
          <w:tcPr>
            <w:tcW w:w="1776" w:type="dxa"/>
            <w:vMerge w:val="restart"/>
            <w:tcBorders>
              <w:top w:val="single" w:color="000000" w:sz="4" w:space="0"/>
              <w:left w:val="single" w:color="000000" w:sz="4" w:space="0"/>
              <w:right w:val="single" w:color="000000" w:sz="4" w:space="0"/>
            </w:tcBorders>
            <w:shd w:val="clear" w:color="auto" w:fill="auto"/>
            <w:noWrap/>
            <w:vAlign w:val="center"/>
          </w:tcPr>
          <w:p w14:paraId="412E9333">
            <w:pPr>
              <w:keepNext w:val="0"/>
              <w:keepLines w:val="0"/>
              <w:widowControl/>
              <w:suppressLineNumbers w:val="0"/>
              <w:ind w:left="0" w:leftChars="0" w:firstLine="0" w:firstLineChars="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cs="仿宋"/>
                <w:i w:val="0"/>
                <w:iCs w:val="0"/>
                <w:color w:val="000000"/>
                <w:kern w:val="0"/>
                <w:sz w:val="24"/>
                <w:szCs w:val="24"/>
                <w:u w:val="none"/>
                <w:lang w:val="en-US" w:eastAsia="zh-CN" w:bidi="ar"/>
              </w:rPr>
              <w:t>9</w:t>
            </w:r>
            <w:r>
              <w:rPr>
                <w:rFonts w:hint="eastAsia" w:ascii="仿宋" w:hAnsi="仿宋" w:eastAsia="仿宋" w:cs="仿宋"/>
                <w:i w:val="0"/>
                <w:iCs w:val="0"/>
                <w:color w:val="000000"/>
                <w:kern w:val="0"/>
                <w:sz w:val="24"/>
                <w:szCs w:val="24"/>
                <w:u w:val="none"/>
                <w:lang w:val="en-US" w:eastAsia="zh-CN" w:bidi="ar"/>
              </w:rPr>
              <w:t>:</w:t>
            </w:r>
            <w:r>
              <w:rPr>
                <w:rFonts w:hint="eastAsia" w:cs="仿宋"/>
                <w:i w:val="0"/>
                <w:iCs w:val="0"/>
                <w:color w:val="000000"/>
                <w:kern w:val="0"/>
                <w:sz w:val="24"/>
                <w:szCs w:val="24"/>
                <w:u w:val="none"/>
                <w:lang w:val="en-US" w:eastAsia="zh-CN" w:bidi="ar"/>
              </w:rPr>
              <w:t>0</w:t>
            </w:r>
            <w:r>
              <w:rPr>
                <w:rFonts w:hint="eastAsia" w:ascii="仿宋" w:hAnsi="仿宋" w:eastAsia="仿宋" w:cs="仿宋"/>
                <w:i w:val="0"/>
                <w:iCs w:val="0"/>
                <w:color w:val="000000"/>
                <w:kern w:val="0"/>
                <w:sz w:val="24"/>
                <w:szCs w:val="24"/>
                <w:u w:val="none"/>
                <w:lang w:val="en-US" w:eastAsia="zh-CN" w:bidi="ar"/>
              </w:rPr>
              <w:t>0-</w:t>
            </w:r>
            <w:r>
              <w:rPr>
                <w:rFonts w:hint="eastAsia" w:cs="仿宋"/>
                <w:i w:val="0"/>
                <w:iCs w:val="0"/>
                <w:color w:val="000000"/>
                <w:kern w:val="0"/>
                <w:sz w:val="24"/>
                <w:szCs w:val="24"/>
                <w:u w:val="none"/>
                <w:lang w:val="en-US" w:eastAsia="zh-CN" w:bidi="ar"/>
              </w:rPr>
              <w:t>9</w:t>
            </w:r>
            <w:r>
              <w:rPr>
                <w:rFonts w:hint="eastAsia" w:ascii="仿宋" w:hAnsi="仿宋" w:eastAsia="仿宋" w:cs="仿宋"/>
                <w:i w:val="0"/>
                <w:iCs w:val="0"/>
                <w:color w:val="000000"/>
                <w:kern w:val="0"/>
                <w:sz w:val="24"/>
                <w:szCs w:val="24"/>
                <w:u w:val="none"/>
                <w:lang w:val="en-US" w:eastAsia="zh-CN" w:bidi="ar"/>
              </w:rPr>
              <w:t>:</w:t>
            </w:r>
            <w:r>
              <w:rPr>
                <w:rFonts w:hint="eastAsia" w:cs="仿宋"/>
                <w:i w:val="0"/>
                <w:iCs w:val="0"/>
                <w:color w:val="000000"/>
                <w:kern w:val="0"/>
                <w:sz w:val="24"/>
                <w:szCs w:val="24"/>
                <w:u w:val="none"/>
                <w:lang w:val="en-US" w:eastAsia="zh-CN" w:bidi="ar"/>
              </w:rPr>
              <w:t>2</w:t>
            </w:r>
            <w:r>
              <w:rPr>
                <w:rFonts w:hint="eastAsia" w:ascii="仿宋" w:hAnsi="仿宋" w:eastAsia="仿宋" w:cs="仿宋"/>
                <w:i w:val="0"/>
                <w:iCs w:val="0"/>
                <w:color w:val="000000"/>
                <w:kern w:val="0"/>
                <w:sz w:val="24"/>
                <w:szCs w:val="24"/>
                <w:u w:val="none"/>
                <w:lang w:val="en-US" w:eastAsia="zh-CN" w:bidi="ar"/>
              </w:rPr>
              <w:t>0</w:t>
            </w:r>
          </w:p>
        </w:tc>
        <w:tc>
          <w:tcPr>
            <w:tcW w:w="1126" w:type="dxa"/>
            <w:vMerge w:val="restart"/>
            <w:tcBorders>
              <w:top w:val="single" w:color="000000" w:sz="4" w:space="0"/>
              <w:left w:val="single" w:color="000000" w:sz="4" w:space="0"/>
              <w:right w:val="single" w:color="000000" w:sz="4" w:space="0"/>
            </w:tcBorders>
            <w:shd w:val="clear" w:color="auto" w:fill="auto"/>
            <w:vAlign w:val="center"/>
          </w:tcPr>
          <w:p w14:paraId="04FFEDE2">
            <w:pPr>
              <w:keepNext w:val="0"/>
              <w:keepLines w:val="0"/>
              <w:widowControl/>
              <w:suppressLineNumbers w:val="0"/>
              <w:ind w:left="0" w:leftChars="0" w:firstLine="0" w:firstLineChars="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建庄矿</w:t>
            </w:r>
          </w:p>
        </w:tc>
        <w:tc>
          <w:tcPr>
            <w:tcW w:w="1564" w:type="dxa"/>
            <w:vMerge w:val="restart"/>
            <w:tcBorders>
              <w:top w:val="single" w:color="000000" w:sz="4" w:space="0"/>
              <w:left w:val="single" w:color="000000" w:sz="4" w:space="0"/>
              <w:right w:val="single" w:color="000000" w:sz="4" w:space="0"/>
            </w:tcBorders>
            <w:shd w:val="clear" w:color="auto" w:fill="auto"/>
            <w:vAlign w:val="center"/>
          </w:tcPr>
          <w:p w14:paraId="6263837A">
            <w:pPr>
              <w:keepNext w:val="0"/>
              <w:keepLines w:val="0"/>
              <w:widowControl/>
              <w:suppressLineNumbers w:val="0"/>
              <w:ind w:left="0" w:leftChars="0" w:firstLine="0" w:firstLineChars="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cs="仿宋"/>
                <w:i w:val="0"/>
                <w:iCs w:val="0"/>
                <w:color w:val="000000"/>
                <w:kern w:val="2"/>
                <w:sz w:val="24"/>
                <w:szCs w:val="24"/>
                <w:u w:val="none"/>
                <w:lang w:val="en-US" w:eastAsia="zh-CN" w:bidi="ar-SA"/>
              </w:rPr>
              <w:t>大混</w:t>
            </w:r>
          </w:p>
        </w:tc>
        <w:tc>
          <w:tcPr>
            <w:tcW w:w="2014" w:type="dxa"/>
            <w:vMerge w:val="restart"/>
            <w:tcBorders>
              <w:top w:val="single" w:color="000000" w:sz="4" w:space="0"/>
              <w:left w:val="single" w:color="000000" w:sz="4" w:space="0"/>
              <w:right w:val="single" w:color="000000" w:sz="4" w:space="0"/>
            </w:tcBorders>
            <w:shd w:val="clear" w:color="auto" w:fill="auto"/>
            <w:vAlign w:val="center"/>
          </w:tcPr>
          <w:p w14:paraId="2AAF575B">
            <w:pPr>
              <w:keepNext w:val="0"/>
              <w:keepLines w:val="0"/>
              <w:widowControl/>
              <w:suppressLineNumbers w:val="0"/>
              <w:ind w:left="0" w:leftChars="0" w:firstLine="0" w:firstLineChars="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cs="仿宋"/>
                <w:i w:val="0"/>
                <w:iCs w:val="0"/>
                <w:color w:val="000000"/>
                <w:kern w:val="0"/>
                <w:sz w:val="24"/>
                <w:szCs w:val="24"/>
                <w:u w:val="none"/>
                <w:lang w:val="en-US" w:eastAsia="zh-CN" w:bidi="ar"/>
              </w:rPr>
              <w:t>30000</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w:t>
            </w:r>
            <w:r>
              <w:rPr>
                <w:rFonts w:hint="eastAsia" w:cs="仿宋"/>
                <w:i w:val="0"/>
                <w:iCs w:val="0"/>
                <w:color w:val="000000"/>
                <w:kern w:val="0"/>
                <w:sz w:val="24"/>
                <w:szCs w:val="24"/>
                <w:u w:val="none"/>
                <w:lang w:val="en-US" w:eastAsia="zh-CN" w:bidi="ar"/>
              </w:rPr>
              <w:t>5</w:t>
            </w:r>
            <w:r>
              <w:rPr>
                <w:rFonts w:hint="eastAsia" w:ascii="仿宋" w:hAnsi="仿宋" w:eastAsia="仿宋" w:cs="仿宋"/>
                <w:i w:val="0"/>
                <w:iCs w:val="0"/>
                <w:color w:val="000000"/>
                <w:kern w:val="0"/>
                <w:sz w:val="24"/>
                <w:szCs w:val="24"/>
                <w:u w:val="none"/>
                <w:lang w:val="en-US" w:eastAsia="zh-CN" w:bidi="ar"/>
              </w:rPr>
              <w:t>000*</w:t>
            </w:r>
            <w:r>
              <w:rPr>
                <w:rFonts w:hint="eastAsia" w:cs="仿宋"/>
                <w:i w:val="0"/>
                <w:iCs w:val="0"/>
                <w:color w:val="000000"/>
                <w:kern w:val="0"/>
                <w:sz w:val="24"/>
                <w:szCs w:val="24"/>
                <w:u w:val="none"/>
                <w:lang w:val="en-US" w:eastAsia="zh-CN" w:bidi="ar"/>
              </w:rPr>
              <w:t>6</w:t>
            </w:r>
            <w:r>
              <w:rPr>
                <w:rFonts w:hint="eastAsia" w:ascii="仿宋" w:hAnsi="仿宋" w:eastAsia="仿宋" w:cs="仿宋"/>
                <w:i w:val="0"/>
                <w:iCs w:val="0"/>
                <w:color w:val="000000"/>
                <w:kern w:val="0"/>
                <w:sz w:val="24"/>
                <w:szCs w:val="24"/>
                <w:u w:val="none"/>
                <w:lang w:val="en-US" w:eastAsia="zh-CN" w:bidi="ar"/>
              </w:rPr>
              <w:t>)</w:t>
            </w:r>
          </w:p>
        </w:tc>
        <w:tc>
          <w:tcPr>
            <w:tcW w:w="1176" w:type="dxa"/>
            <w:vMerge w:val="restart"/>
            <w:tcBorders>
              <w:top w:val="single" w:color="000000" w:sz="4" w:space="0"/>
              <w:left w:val="single" w:color="000000" w:sz="4" w:space="0"/>
              <w:right w:val="single" w:color="000000" w:sz="4" w:space="0"/>
            </w:tcBorders>
            <w:shd w:val="clear" w:color="auto" w:fill="auto"/>
            <w:vAlign w:val="center"/>
          </w:tcPr>
          <w:p w14:paraId="38E29959">
            <w:pPr>
              <w:keepNext w:val="0"/>
              <w:keepLines w:val="0"/>
              <w:widowControl/>
              <w:suppressLineNumbers w:val="0"/>
              <w:ind w:left="0" w:leftChars="0" w:firstLine="0" w:firstLineChars="0"/>
              <w:jc w:val="center"/>
              <w:textAlignment w:val="center"/>
              <w:rPr>
                <w:rFonts w:hint="default" w:cs="仿宋"/>
                <w:i w:val="0"/>
                <w:iCs w:val="0"/>
                <w:color w:val="000000"/>
                <w:kern w:val="0"/>
                <w:sz w:val="24"/>
                <w:szCs w:val="24"/>
                <w:u w:val="none"/>
                <w:lang w:val="en-US" w:eastAsia="zh-CN" w:bidi="ar"/>
              </w:rPr>
            </w:pPr>
            <w:r>
              <w:rPr>
                <w:rFonts w:hint="eastAsia" w:cs="仿宋"/>
                <w:i w:val="0"/>
                <w:iCs w:val="0"/>
                <w:color w:val="000000"/>
                <w:kern w:val="2"/>
                <w:sz w:val="24"/>
                <w:szCs w:val="24"/>
                <w:u w:val="none"/>
                <w:lang w:val="en-US" w:eastAsia="zh-CN" w:bidi="ar-SA"/>
              </w:rPr>
              <w:t>510</w:t>
            </w:r>
          </w:p>
        </w:tc>
        <w:tc>
          <w:tcPr>
            <w:tcW w:w="2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C1ABAA">
            <w:pPr>
              <w:keepNext w:val="0"/>
              <w:keepLines w:val="0"/>
              <w:widowControl/>
              <w:suppressLineNumbers w:val="0"/>
              <w:ind w:left="0" w:leftChars="0" w:firstLine="0" w:firstLineChars="0"/>
              <w:jc w:val="left"/>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4"/>
                <w:szCs w:val="24"/>
                <w:u w:val="none"/>
                <w:lang w:val="en-US" w:eastAsia="zh-CN" w:bidi="ar"/>
              </w:rPr>
              <w:t>发热量(Qnet,ar)大卡：4</w:t>
            </w:r>
            <w:r>
              <w:rPr>
                <w:rFonts w:hint="eastAsia" w:cs="仿宋"/>
                <w:i w:val="0"/>
                <w:iCs w:val="0"/>
                <w:color w:val="000000"/>
                <w:kern w:val="0"/>
                <w:sz w:val="24"/>
                <w:szCs w:val="24"/>
                <w:u w:val="none"/>
                <w:lang w:val="en-US" w:eastAsia="zh-CN" w:bidi="ar"/>
              </w:rPr>
              <w:t>7</w:t>
            </w:r>
            <w:r>
              <w:rPr>
                <w:rFonts w:hint="eastAsia" w:ascii="仿宋" w:hAnsi="仿宋" w:eastAsia="仿宋" w:cs="仿宋"/>
                <w:i w:val="0"/>
                <w:iCs w:val="0"/>
                <w:color w:val="000000"/>
                <w:kern w:val="0"/>
                <w:sz w:val="24"/>
                <w:szCs w:val="24"/>
                <w:u w:val="none"/>
                <w:lang w:val="en-US" w:eastAsia="zh-CN" w:bidi="ar"/>
              </w:rPr>
              <w:t>00-5</w:t>
            </w:r>
            <w:r>
              <w:rPr>
                <w:rFonts w:hint="eastAsia" w:cs="仿宋"/>
                <w:i w:val="0"/>
                <w:iCs w:val="0"/>
                <w:color w:val="000000"/>
                <w:kern w:val="0"/>
                <w:sz w:val="24"/>
                <w:szCs w:val="24"/>
                <w:u w:val="none"/>
                <w:lang w:val="en-US" w:eastAsia="zh-CN" w:bidi="ar"/>
              </w:rPr>
              <w:t>0</w:t>
            </w:r>
            <w:r>
              <w:rPr>
                <w:rFonts w:hint="eastAsia" w:ascii="仿宋" w:hAnsi="仿宋" w:eastAsia="仿宋" w:cs="仿宋"/>
                <w:i w:val="0"/>
                <w:iCs w:val="0"/>
                <w:color w:val="000000"/>
                <w:kern w:val="0"/>
                <w:sz w:val="24"/>
                <w:szCs w:val="24"/>
                <w:u w:val="none"/>
                <w:lang w:val="en-US" w:eastAsia="zh-CN" w:bidi="ar"/>
              </w:rPr>
              <w:t>00</w:t>
            </w:r>
          </w:p>
        </w:tc>
      </w:tr>
      <w:tr w14:paraId="21F604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2" w:hRule="atLeast"/>
        </w:trPr>
        <w:tc>
          <w:tcPr>
            <w:tcW w:w="1776" w:type="dxa"/>
            <w:vMerge w:val="continue"/>
            <w:tcBorders>
              <w:left w:val="single" w:color="000000" w:sz="4" w:space="0"/>
              <w:right w:val="single" w:color="000000" w:sz="4" w:space="0"/>
            </w:tcBorders>
            <w:shd w:val="clear" w:color="auto" w:fill="auto"/>
            <w:noWrap/>
            <w:vAlign w:val="center"/>
          </w:tcPr>
          <w:p w14:paraId="7F3DB202">
            <w:pPr>
              <w:keepNext w:val="0"/>
              <w:keepLines w:val="0"/>
              <w:widowControl/>
              <w:suppressLineNumbers w:val="0"/>
              <w:ind w:firstLine="240" w:firstLineChars="100"/>
              <w:jc w:val="center"/>
              <w:textAlignment w:val="center"/>
            </w:pPr>
          </w:p>
        </w:tc>
        <w:tc>
          <w:tcPr>
            <w:tcW w:w="1126" w:type="dxa"/>
            <w:vMerge w:val="continue"/>
            <w:tcBorders>
              <w:left w:val="single" w:color="000000" w:sz="4" w:space="0"/>
              <w:right w:val="single" w:color="000000" w:sz="4" w:space="0"/>
            </w:tcBorders>
            <w:shd w:val="clear" w:color="auto" w:fill="auto"/>
            <w:vAlign w:val="center"/>
          </w:tcPr>
          <w:p w14:paraId="717074CB">
            <w:pPr>
              <w:keepNext w:val="0"/>
              <w:keepLines w:val="0"/>
              <w:widowControl/>
              <w:suppressLineNumbers w:val="0"/>
              <w:ind w:firstLine="240" w:firstLineChars="100"/>
              <w:jc w:val="center"/>
              <w:textAlignment w:val="center"/>
            </w:pPr>
          </w:p>
        </w:tc>
        <w:tc>
          <w:tcPr>
            <w:tcW w:w="1564" w:type="dxa"/>
            <w:vMerge w:val="continue"/>
            <w:tcBorders>
              <w:left w:val="single" w:color="000000" w:sz="4" w:space="0"/>
              <w:right w:val="single" w:color="000000" w:sz="4" w:space="0"/>
            </w:tcBorders>
            <w:shd w:val="clear" w:color="auto" w:fill="auto"/>
            <w:vAlign w:val="center"/>
          </w:tcPr>
          <w:p w14:paraId="5D0A151E">
            <w:pPr>
              <w:keepNext w:val="0"/>
              <w:keepLines w:val="0"/>
              <w:widowControl/>
              <w:suppressLineNumbers w:val="0"/>
              <w:ind w:firstLine="240" w:firstLineChars="100"/>
              <w:jc w:val="center"/>
              <w:textAlignment w:val="center"/>
            </w:pPr>
          </w:p>
        </w:tc>
        <w:tc>
          <w:tcPr>
            <w:tcW w:w="2014" w:type="dxa"/>
            <w:vMerge w:val="continue"/>
            <w:tcBorders>
              <w:left w:val="single" w:color="000000" w:sz="4" w:space="0"/>
              <w:right w:val="single" w:color="000000" w:sz="4" w:space="0"/>
            </w:tcBorders>
            <w:shd w:val="clear" w:color="auto" w:fill="auto"/>
            <w:vAlign w:val="center"/>
          </w:tcPr>
          <w:p w14:paraId="09289DB6">
            <w:pPr>
              <w:keepNext w:val="0"/>
              <w:keepLines w:val="0"/>
              <w:widowControl/>
              <w:suppressLineNumbers w:val="0"/>
              <w:ind w:firstLine="240" w:firstLineChars="100"/>
              <w:jc w:val="center"/>
              <w:textAlignment w:val="center"/>
            </w:pPr>
          </w:p>
        </w:tc>
        <w:tc>
          <w:tcPr>
            <w:tcW w:w="1176" w:type="dxa"/>
            <w:vMerge w:val="continue"/>
            <w:tcBorders>
              <w:left w:val="single" w:color="000000" w:sz="4" w:space="0"/>
              <w:right w:val="single" w:color="000000" w:sz="4" w:space="0"/>
            </w:tcBorders>
            <w:shd w:val="clear" w:color="auto" w:fill="auto"/>
            <w:vAlign w:val="center"/>
          </w:tcPr>
          <w:p w14:paraId="2EAA85CD">
            <w:pPr>
              <w:keepNext w:val="0"/>
              <w:keepLines w:val="0"/>
              <w:widowControl/>
              <w:suppressLineNumbers w:val="0"/>
              <w:ind w:firstLine="240" w:firstLineChars="100"/>
              <w:jc w:val="center"/>
              <w:textAlignment w:val="center"/>
            </w:pPr>
          </w:p>
        </w:tc>
        <w:tc>
          <w:tcPr>
            <w:tcW w:w="2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ABCD9">
            <w:pPr>
              <w:keepNext w:val="0"/>
              <w:keepLines w:val="0"/>
              <w:widowControl/>
              <w:suppressLineNumbers w:val="0"/>
              <w:ind w:left="0" w:leftChars="0" w:firstLine="0" w:firstLineChars="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灰分（Ad%)：≤30%</w:t>
            </w:r>
          </w:p>
        </w:tc>
      </w:tr>
      <w:tr w14:paraId="6D86A8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2" w:hRule="atLeast"/>
        </w:trPr>
        <w:tc>
          <w:tcPr>
            <w:tcW w:w="1776" w:type="dxa"/>
            <w:vMerge w:val="continue"/>
            <w:tcBorders>
              <w:left w:val="single" w:color="000000" w:sz="4" w:space="0"/>
              <w:right w:val="single" w:color="000000" w:sz="4" w:space="0"/>
            </w:tcBorders>
            <w:shd w:val="clear" w:color="auto" w:fill="auto"/>
            <w:noWrap/>
            <w:vAlign w:val="center"/>
          </w:tcPr>
          <w:p w14:paraId="552FC758">
            <w:pPr>
              <w:keepNext w:val="0"/>
              <w:keepLines w:val="0"/>
              <w:widowControl/>
              <w:suppressLineNumbers w:val="0"/>
              <w:ind w:firstLine="240" w:firstLineChars="100"/>
              <w:jc w:val="center"/>
              <w:textAlignment w:val="center"/>
              <w:rPr>
                <w:rFonts w:hint="eastAsia" w:ascii="仿宋" w:hAnsi="仿宋" w:eastAsia="仿宋" w:cs="仿宋"/>
                <w:i w:val="0"/>
                <w:iCs w:val="0"/>
                <w:color w:val="000000"/>
                <w:kern w:val="0"/>
                <w:sz w:val="24"/>
                <w:szCs w:val="24"/>
                <w:u w:val="none"/>
                <w:lang w:val="en-US" w:eastAsia="zh-CN" w:bidi="ar"/>
              </w:rPr>
            </w:pPr>
          </w:p>
        </w:tc>
        <w:tc>
          <w:tcPr>
            <w:tcW w:w="1126" w:type="dxa"/>
            <w:vMerge w:val="continue"/>
            <w:tcBorders>
              <w:left w:val="single" w:color="000000" w:sz="4" w:space="0"/>
              <w:right w:val="single" w:color="000000" w:sz="4" w:space="0"/>
            </w:tcBorders>
            <w:shd w:val="clear" w:color="auto" w:fill="auto"/>
            <w:vAlign w:val="center"/>
          </w:tcPr>
          <w:p w14:paraId="4AC58334">
            <w:pPr>
              <w:keepNext w:val="0"/>
              <w:keepLines w:val="0"/>
              <w:widowControl/>
              <w:suppressLineNumbers w:val="0"/>
              <w:ind w:firstLine="240" w:firstLineChars="100"/>
              <w:jc w:val="center"/>
              <w:textAlignment w:val="center"/>
              <w:rPr>
                <w:rFonts w:hint="eastAsia" w:ascii="仿宋" w:hAnsi="仿宋" w:eastAsia="仿宋" w:cs="仿宋"/>
                <w:i w:val="0"/>
                <w:iCs w:val="0"/>
                <w:color w:val="000000"/>
                <w:kern w:val="0"/>
                <w:sz w:val="24"/>
                <w:szCs w:val="24"/>
                <w:u w:val="none"/>
                <w:lang w:val="en-US" w:eastAsia="zh-CN" w:bidi="ar"/>
              </w:rPr>
            </w:pPr>
          </w:p>
        </w:tc>
        <w:tc>
          <w:tcPr>
            <w:tcW w:w="1564" w:type="dxa"/>
            <w:vMerge w:val="continue"/>
            <w:tcBorders>
              <w:left w:val="single" w:color="000000" w:sz="4" w:space="0"/>
              <w:right w:val="single" w:color="000000" w:sz="4" w:space="0"/>
            </w:tcBorders>
            <w:shd w:val="clear" w:color="auto" w:fill="auto"/>
            <w:vAlign w:val="center"/>
          </w:tcPr>
          <w:p w14:paraId="59E8E06F">
            <w:pPr>
              <w:keepNext w:val="0"/>
              <w:keepLines w:val="0"/>
              <w:widowControl/>
              <w:suppressLineNumbers w:val="0"/>
              <w:ind w:firstLine="240" w:firstLineChars="100"/>
              <w:jc w:val="center"/>
              <w:textAlignment w:val="center"/>
              <w:rPr>
                <w:rFonts w:hint="eastAsia" w:ascii="仿宋" w:hAnsi="仿宋" w:eastAsia="仿宋" w:cs="仿宋"/>
                <w:i w:val="0"/>
                <w:iCs w:val="0"/>
                <w:color w:val="000000"/>
                <w:kern w:val="0"/>
                <w:sz w:val="24"/>
                <w:szCs w:val="24"/>
                <w:u w:val="none"/>
                <w:lang w:val="en-US" w:eastAsia="zh-CN" w:bidi="ar"/>
              </w:rPr>
            </w:pPr>
          </w:p>
        </w:tc>
        <w:tc>
          <w:tcPr>
            <w:tcW w:w="2014" w:type="dxa"/>
            <w:vMerge w:val="continue"/>
            <w:tcBorders>
              <w:left w:val="single" w:color="000000" w:sz="4" w:space="0"/>
              <w:right w:val="single" w:color="000000" w:sz="4" w:space="0"/>
            </w:tcBorders>
            <w:shd w:val="clear" w:color="auto" w:fill="auto"/>
            <w:vAlign w:val="center"/>
          </w:tcPr>
          <w:p w14:paraId="7E5DED6D">
            <w:pPr>
              <w:keepNext w:val="0"/>
              <w:keepLines w:val="0"/>
              <w:widowControl/>
              <w:suppressLineNumbers w:val="0"/>
              <w:ind w:firstLine="240" w:firstLineChars="100"/>
              <w:jc w:val="center"/>
              <w:textAlignment w:val="center"/>
              <w:rPr>
                <w:rFonts w:hint="eastAsia" w:ascii="仿宋" w:hAnsi="仿宋" w:eastAsia="仿宋" w:cs="仿宋"/>
                <w:i w:val="0"/>
                <w:iCs w:val="0"/>
                <w:color w:val="000000"/>
                <w:kern w:val="0"/>
                <w:sz w:val="24"/>
                <w:szCs w:val="24"/>
                <w:u w:val="none"/>
                <w:lang w:val="en-US" w:eastAsia="zh-CN" w:bidi="ar"/>
              </w:rPr>
            </w:pPr>
          </w:p>
        </w:tc>
        <w:tc>
          <w:tcPr>
            <w:tcW w:w="1176" w:type="dxa"/>
            <w:vMerge w:val="continue"/>
            <w:tcBorders>
              <w:left w:val="single" w:color="000000" w:sz="4" w:space="0"/>
              <w:right w:val="single" w:color="000000" w:sz="4" w:space="0"/>
            </w:tcBorders>
            <w:shd w:val="clear" w:color="auto" w:fill="auto"/>
            <w:vAlign w:val="center"/>
          </w:tcPr>
          <w:p w14:paraId="72CA2C77">
            <w:pPr>
              <w:keepNext w:val="0"/>
              <w:keepLines w:val="0"/>
              <w:widowControl/>
              <w:suppressLineNumbers w:val="0"/>
              <w:ind w:firstLine="240" w:firstLineChars="100"/>
              <w:jc w:val="center"/>
              <w:textAlignment w:val="center"/>
              <w:rPr>
                <w:rFonts w:hint="eastAsia" w:ascii="仿宋" w:hAnsi="仿宋" w:eastAsia="仿宋" w:cs="仿宋"/>
                <w:i w:val="0"/>
                <w:iCs w:val="0"/>
                <w:color w:val="000000"/>
                <w:kern w:val="0"/>
                <w:sz w:val="24"/>
                <w:szCs w:val="24"/>
                <w:u w:val="none"/>
                <w:lang w:val="en-US" w:eastAsia="zh-CN" w:bidi="ar"/>
              </w:rPr>
            </w:pPr>
          </w:p>
        </w:tc>
        <w:tc>
          <w:tcPr>
            <w:tcW w:w="2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2927E6">
            <w:pPr>
              <w:keepNext w:val="0"/>
              <w:keepLines w:val="0"/>
              <w:widowControl/>
              <w:suppressLineNumbers w:val="0"/>
              <w:ind w:left="0" w:leftChars="0" w:firstLine="0" w:firstLineChars="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硫分(St,d%)：≤1%</w:t>
            </w:r>
          </w:p>
        </w:tc>
      </w:tr>
      <w:tr w14:paraId="5773E5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2" w:hRule="atLeast"/>
        </w:trPr>
        <w:tc>
          <w:tcPr>
            <w:tcW w:w="1776" w:type="dxa"/>
            <w:vMerge w:val="continue"/>
            <w:tcBorders>
              <w:left w:val="single" w:color="000000" w:sz="4" w:space="0"/>
              <w:right w:val="single" w:color="000000" w:sz="4" w:space="0"/>
            </w:tcBorders>
            <w:shd w:val="clear" w:color="auto" w:fill="auto"/>
            <w:noWrap/>
            <w:vAlign w:val="center"/>
          </w:tcPr>
          <w:p w14:paraId="0E2D1EF0">
            <w:pPr>
              <w:keepNext w:val="0"/>
              <w:keepLines w:val="0"/>
              <w:widowControl/>
              <w:suppressLineNumbers w:val="0"/>
              <w:ind w:firstLine="240" w:firstLineChars="100"/>
              <w:jc w:val="center"/>
              <w:textAlignment w:val="center"/>
              <w:rPr>
                <w:rFonts w:hint="eastAsia" w:ascii="仿宋" w:hAnsi="仿宋" w:eastAsia="仿宋" w:cs="仿宋"/>
                <w:i w:val="0"/>
                <w:iCs w:val="0"/>
                <w:color w:val="000000"/>
                <w:kern w:val="0"/>
                <w:sz w:val="24"/>
                <w:szCs w:val="24"/>
                <w:u w:val="none"/>
                <w:lang w:val="en-US" w:eastAsia="zh-CN" w:bidi="ar"/>
              </w:rPr>
            </w:pPr>
          </w:p>
        </w:tc>
        <w:tc>
          <w:tcPr>
            <w:tcW w:w="1126" w:type="dxa"/>
            <w:vMerge w:val="continue"/>
            <w:tcBorders>
              <w:left w:val="single" w:color="000000" w:sz="4" w:space="0"/>
              <w:right w:val="single" w:color="000000" w:sz="4" w:space="0"/>
            </w:tcBorders>
            <w:shd w:val="clear" w:color="auto" w:fill="auto"/>
            <w:vAlign w:val="center"/>
          </w:tcPr>
          <w:p w14:paraId="18DB73F7">
            <w:pPr>
              <w:keepNext w:val="0"/>
              <w:keepLines w:val="0"/>
              <w:widowControl/>
              <w:suppressLineNumbers w:val="0"/>
              <w:ind w:firstLine="240" w:firstLineChars="100"/>
              <w:jc w:val="center"/>
              <w:textAlignment w:val="center"/>
              <w:rPr>
                <w:rFonts w:hint="eastAsia" w:ascii="仿宋" w:hAnsi="仿宋" w:eastAsia="仿宋" w:cs="仿宋"/>
                <w:i w:val="0"/>
                <w:iCs w:val="0"/>
                <w:color w:val="000000"/>
                <w:kern w:val="0"/>
                <w:sz w:val="24"/>
                <w:szCs w:val="24"/>
                <w:u w:val="none"/>
                <w:lang w:val="en-US" w:eastAsia="zh-CN" w:bidi="ar"/>
              </w:rPr>
            </w:pPr>
          </w:p>
        </w:tc>
        <w:tc>
          <w:tcPr>
            <w:tcW w:w="1564" w:type="dxa"/>
            <w:vMerge w:val="continue"/>
            <w:tcBorders>
              <w:left w:val="single" w:color="000000" w:sz="4" w:space="0"/>
              <w:right w:val="single" w:color="000000" w:sz="4" w:space="0"/>
            </w:tcBorders>
            <w:shd w:val="clear" w:color="auto" w:fill="auto"/>
            <w:vAlign w:val="center"/>
          </w:tcPr>
          <w:p w14:paraId="040C04FA">
            <w:pPr>
              <w:keepNext w:val="0"/>
              <w:keepLines w:val="0"/>
              <w:widowControl/>
              <w:suppressLineNumbers w:val="0"/>
              <w:ind w:firstLine="240" w:firstLineChars="100"/>
              <w:jc w:val="center"/>
              <w:textAlignment w:val="center"/>
              <w:rPr>
                <w:rFonts w:hint="eastAsia" w:ascii="仿宋" w:hAnsi="仿宋" w:eastAsia="仿宋" w:cs="仿宋"/>
                <w:i w:val="0"/>
                <w:iCs w:val="0"/>
                <w:color w:val="000000"/>
                <w:kern w:val="0"/>
                <w:sz w:val="24"/>
                <w:szCs w:val="24"/>
                <w:u w:val="none"/>
                <w:lang w:val="en-US" w:eastAsia="zh-CN" w:bidi="ar"/>
              </w:rPr>
            </w:pPr>
          </w:p>
        </w:tc>
        <w:tc>
          <w:tcPr>
            <w:tcW w:w="2014" w:type="dxa"/>
            <w:vMerge w:val="continue"/>
            <w:tcBorders>
              <w:left w:val="single" w:color="000000" w:sz="4" w:space="0"/>
              <w:right w:val="single" w:color="000000" w:sz="4" w:space="0"/>
            </w:tcBorders>
            <w:shd w:val="clear" w:color="auto" w:fill="auto"/>
            <w:vAlign w:val="center"/>
          </w:tcPr>
          <w:p w14:paraId="09AFB182">
            <w:pPr>
              <w:keepNext w:val="0"/>
              <w:keepLines w:val="0"/>
              <w:widowControl/>
              <w:suppressLineNumbers w:val="0"/>
              <w:ind w:firstLine="240" w:firstLineChars="100"/>
              <w:jc w:val="center"/>
              <w:textAlignment w:val="center"/>
              <w:rPr>
                <w:rFonts w:hint="eastAsia" w:ascii="仿宋" w:hAnsi="仿宋" w:eastAsia="仿宋" w:cs="仿宋"/>
                <w:i w:val="0"/>
                <w:iCs w:val="0"/>
                <w:color w:val="000000"/>
                <w:kern w:val="0"/>
                <w:sz w:val="24"/>
                <w:szCs w:val="24"/>
                <w:u w:val="none"/>
                <w:lang w:val="en-US" w:eastAsia="zh-CN" w:bidi="ar"/>
              </w:rPr>
            </w:pPr>
          </w:p>
        </w:tc>
        <w:tc>
          <w:tcPr>
            <w:tcW w:w="1176" w:type="dxa"/>
            <w:vMerge w:val="continue"/>
            <w:tcBorders>
              <w:left w:val="single" w:color="000000" w:sz="4" w:space="0"/>
              <w:right w:val="single" w:color="000000" w:sz="4" w:space="0"/>
            </w:tcBorders>
            <w:shd w:val="clear" w:color="auto" w:fill="auto"/>
            <w:vAlign w:val="center"/>
          </w:tcPr>
          <w:p w14:paraId="34BCA621">
            <w:pPr>
              <w:keepNext w:val="0"/>
              <w:keepLines w:val="0"/>
              <w:widowControl/>
              <w:suppressLineNumbers w:val="0"/>
              <w:ind w:firstLine="240" w:firstLineChars="100"/>
              <w:jc w:val="center"/>
              <w:textAlignment w:val="center"/>
              <w:rPr>
                <w:rFonts w:hint="eastAsia" w:ascii="仿宋" w:hAnsi="仿宋" w:eastAsia="仿宋" w:cs="仿宋"/>
                <w:i w:val="0"/>
                <w:iCs w:val="0"/>
                <w:color w:val="000000"/>
                <w:kern w:val="0"/>
                <w:sz w:val="24"/>
                <w:szCs w:val="24"/>
                <w:u w:val="none"/>
                <w:lang w:val="en-US" w:eastAsia="zh-CN" w:bidi="ar"/>
              </w:rPr>
            </w:pPr>
          </w:p>
        </w:tc>
        <w:tc>
          <w:tcPr>
            <w:tcW w:w="2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E9C5BD">
            <w:pPr>
              <w:keepNext w:val="0"/>
              <w:keepLines w:val="0"/>
              <w:widowControl/>
              <w:suppressLineNumbers w:val="0"/>
              <w:ind w:left="0" w:leftChars="0" w:firstLine="0" w:firstLineChars="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水分(Mt%)：≤10%</w:t>
            </w:r>
          </w:p>
        </w:tc>
      </w:tr>
      <w:tr w14:paraId="439711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2" w:hRule="atLeast"/>
        </w:trPr>
        <w:tc>
          <w:tcPr>
            <w:tcW w:w="1776" w:type="dxa"/>
            <w:vMerge w:val="continue"/>
            <w:tcBorders>
              <w:left w:val="single" w:color="000000" w:sz="4" w:space="0"/>
              <w:right w:val="single" w:color="000000" w:sz="4" w:space="0"/>
            </w:tcBorders>
            <w:shd w:val="clear" w:color="auto" w:fill="auto"/>
            <w:noWrap/>
            <w:vAlign w:val="center"/>
          </w:tcPr>
          <w:p w14:paraId="579B15F3">
            <w:pPr>
              <w:keepNext w:val="0"/>
              <w:keepLines w:val="0"/>
              <w:widowControl/>
              <w:suppressLineNumbers w:val="0"/>
              <w:ind w:firstLine="240" w:firstLineChars="100"/>
              <w:jc w:val="center"/>
              <w:textAlignment w:val="center"/>
              <w:rPr>
                <w:rFonts w:hint="eastAsia" w:ascii="仿宋" w:hAnsi="仿宋" w:eastAsia="仿宋" w:cs="仿宋"/>
                <w:i w:val="0"/>
                <w:iCs w:val="0"/>
                <w:color w:val="000000"/>
                <w:kern w:val="0"/>
                <w:sz w:val="24"/>
                <w:szCs w:val="24"/>
                <w:u w:val="none"/>
                <w:lang w:val="en-US" w:eastAsia="zh-CN" w:bidi="ar"/>
              </w:rPr>
            </w:pPr>
          </w:p>
        </w:tc>
        <w:tc>
          <w:tcPr>
            <w:tcW w:w="1126" w:type="dxa"/>
            <w:vMerge w:val="continue"/>
            <w:tcBorders>
              <w:left w:val="single" w:color="000000" w:sz="4" w:space="0"/>
              <w:right w:val="single" w:color="000000" w:sz="4" w:space="0"/>
            </w:tcBorders>
            <w:shd w:val="clear" w:color="auto" w:fill="auto"/>
            <w:vAlign w:val="center"/>
          </w:tcPr>
          <w:p w14:paraId="0FB4B408">
            <w:pPr>
              <w:keepNext w:val="0"/>
              <w:keepLines w:val="0"/>
              <w:widowControl/>
              <w:suppressLineNumbers w:val="0"/>
              <w:ind w:firstLine="240" w:firstLineChars="100"/>
              <w:jc w:val="center"/>
              <w:textAlignment w:val="center"/>
              <w:rPr>
                <w:rFonts w:hint="eastAsia" w:ascii="仿宋" w:hAnsi="仿宋" w:eastAsia="仿宋" w:cs="仿宋"/>
                <w:i w:val="0"/>
                <w:iCs w:val="0"/>
                <w:color w:val="000000"/>
                <w:kern w:val="0"/>
                <w:sz w:val="24"/>
                <w:szCs w:val="24"/>
                <w:u w:val="none"/>
                <w:lang w:val="en-US" w:eastAsia="zh-CN" w:bidi="ar"/>
              </w:rPr>
            </w:pPr>
          </w:p>
        </w:tc>
        <w:tc>
          <w:tcPr>
            <w:tcW w:w="1564" w:type="dxa"/>
            <w:vMerge w:val="continue"/>
            <w:tcBorders>
              <w:left w:val="single" w:color="000000" w:sz="4" w:space="0"/>
              <w:right w:val="single" w:color="000000" w:sz="4" w:space="0"/>
            </w:tcBorders>
            <w:shd w:val="clear" w:color="auto" w:fill="auto"/>
            <w:vAlign w:val="center"/>
          </w:tcPr>
          <w:p w14:paraId="6C3F3567">
            <w:pPr>
              <w:keepNext w:val="0"/>
              <w:keepLines w:val="0"/>
              <w:widowControl/>
              <w:suppressLineNumbers w:val="0"/>
              <w:ind w:firstLine="240" w:firstLineChars="100"/>
              <w:jc w:val="center"/>
              <w:textAlignment w:val="center"/>
              <w:rPr>
                <w:rFonts w:hint="eastAsia" w:ascii="仿宋" w:hAnsi="仿宋" w:eastAsia="仿宋" w:cs="仿宋"/>
                <w:i w:val="0"/>
                <w:iCs w:val="0"/>
                <w:color w:val="000000"/>
                <w:kern w:val="0"/>
                <w:sz w:val="24"/>
                <w:szCs w:val="24"/>
                <w:u w:val="none"/>
                <w:lang w:val="en-US" w:eastAsia="zh-CN" w:bidi="ar"/>
              </w:rPr>
            </w:pPr>
          </w:p>
        </w:tc>
        <w:tc>
          <w:tcPr>
            <w:tcW w:w="2014" w:type="dxa"/>
            <w:vMerge w:val="continue"/>
            <w:tcBorders>
              <w:left w:val="single" w:color="000000" w:sz="4" w:space="0"/>
              <w:right w:val="single" w:color="000000" w:sz="4" w:space="0"/>
            </w:tcBorders>
            <w:shd w:val="clear" w:color="auto" w:fill="auto"/>
            <w:vAlign w:val="center"/>
          </w:tcPr>
          <w:p w14:paraId="199D73C4">
            <w:pPr>
              <w:keepNext w:val="0"/>
              <w:keepLines w:val="0"/>
              <w:widowControl/>
              <w:suppressLineNumbers w:val="0"/>
              <w:ind w:firstLine="240" w:firstLineChars="100"/>
              <w:jc w:val="center"/>
              <w:textAlignment w:val="center"/>
              <w:rPr>
                <w:rFonts w:hint="eastAsia" w:ascii="仿宋" w:hAnsi="仿宋" w:eastAsia="仿宋" w:cs="仿宋"/>
                <w:i w:val="0"/>
                <w:iCs w:val="0"/>
                <w:color w:val="000000"/>
                <w:kern w:val="0"/>
                <w:sz w:val="24"/>
                <w:szCs w:val="24"/>
                <w:u w:val="none"/>
                <w:lang w:val="en-US" w:eastAsia="zh-CN" w:bidi="ar"/>
              </w:rPr>
            </w:pPr>
          </w:p>
        </w:tc>
        <w:tc>
          <w:tcPr>
            <w:tcW w:w="1176" w:type="dxa"/>
            <w:vMerge w:val="continue"/>
            <w:tcBorders>
              <w:left w:val="single" w:color="000000" w:sz="4" w:space="0"/>
              <w:right w:val="single" w:color="000000" w:sz="4" w:space="0"/>
            </w:tcBorders>
            <w:shd w:val="clear" w:color="auto" w:fill="auto"/>
            <w:vAlign w:val="center"/>
          </w:tcPr>
          <w:p w14:paraId="5F08FA90">
            <w:pPr>
              <w:keepNext w:val="0"/>
              <w:keepLines w:val="0"/>
              <w:widowControl/>
              <w:suppressLineNumbers w:val="0"/>
              <w:ind w:firstLine="240" w:firstLineChars="100"/>
              <w:jc w:val="center"/>
              <w:textAlignment w:val="center"/>
              <w:rPr>
                <w:rFonts w:hint="eastAsia" w:ascii="仿宋" w:hAnsi="仿宋" w:eastAsia="仿宋" w:cs="仿宋"/>
                <w:i w:val="0"/>
                <w:iCs w:val="0"/>
                <w:color w:val="000000"/>
                <w:kern w:val="0"/>
                <w:sz w:val="24"/>
                <w:szCs w:val="24"/>
                <w:u w:val="none"/>
                <w:lang w:val="en-US" w:eastAsia="zh-CN" w:bidi="ar"/>
              </w:rPr>
            </w:pPr>
          </w:p>
        </w:tc>
        <w:tc>
          <w:tcPr>
            <w:tcW w:w="2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771E3D">
            <w:pPr>
              <w:keepNext w:val="0"/>
              <w:keepLines w:val="0"/>
              <w:widowControl/>
              <w:suppressLineNumbers w:val="0"/>
              <w:ind w:left="0" w:leftChars="0" w:firstLine="0" w:firstLineChars="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挥发分(Vdaf%）:</w:t>
            </w:r>
          </w:p>
        </w:tc>
      </w:tr>
      <w:tr w14:paraId="52ECE9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2" w:hRule="atLeast"/>
        </w:trPr>
        <w:tc>
          <w:tcPr>
            <w:tcW w:w="1776" w:type="dxa"/>
            <w:vMerge w:val="continue"/>
            <w:tcBorders>
              <w:left w:val="single" w:color="000000" w:sz="4" w:space="0"/>
              <w:right w:val="single" w:color="000000" w:sz="4" w:space="0"/>
            </w:tcBorders>
            <w:shd w:val="clear" w:color="auto" w:fill="auto"/>
            <w:noWrap/>
            <w:vAlign w:val="center"/>
          </w:tcPr>
          <w:p w14:paraId="36ABD372">
            <w:pPr>
              <w:keepNext w:val="0"/>
              <w:keepLines w:val="0"/>
              <w:widowControl/>
              <w:suppressLineNumbers w:val="0"/>
              <w:ind w:firstLine="240" w:firstLineChars="100"/>
              <w:jc w:val="center"/>
              <w:textAlignment w:val="center"/>
              <w:rPr>
                <w:rFonts w:hint="eastAsia" w:ascii="仿宋" w:hAnsi="仿宋" w:eastAsia="仿宋" w:cs="仿宋"/>
                <w:i w:val="0"/>
                <w:iCs w:val="0"/>
                <w:color w:val="000000"/>
                <w:kern w:val="0"/>
                <w:sz w:val="24"/>
                <w:szCs w:val="24"/>
                <w:u w:val="none"/>
                <w:lang w:val="en-US" w:eastAsia="zh-CN" w:bidi="ar"/>
              </w:rPr>
            </w:pPr>
          </w:p>
        </w:tc>
        <w:tc>
          <w:tcPr>
            <w:tcW w:w="1126" w:type="dxa"/>
            <w:vMerge w:val="continue"/>
            <w:tcBorders>
              <w:left w:val="single" w:color="000000" w:sz="4" w:space="0"/>
              <w:right w:val="single" w:color="000000" w:sz="4" w:space="0"/>
            </w:tcBorders>
            <w:shd w:val="clear" w:color="auto" w:fill="auto"/>
            <w:vAlign w:val="center"/>
          </w:tcPr>
          <w:p w14:paraId="1097DC4C">
            <w:pPr>
              <w:keepNext w:val="0"/>
              <w:keepLines w:val="0"/>
              <w:widowControl/>
              <w:suppressLineNumbers w:val="0"/>
              <w:ind w:firstLine="240" w:firstLineChars="100"/>
              <w:jc w:val="center"/>
              <w:textAlignment w:val="center"/>
              <w:rPr>
                <w:rFonts w:hint="eastAsia" w:ascii="仿宋" w:hAnsi="仿宋" w:eastAsia="仿宋" w:cs="仿宋"/>
                <w:i w:val="0"/>
                <w:iCs w:val="0"/>
                <w:color w:val="000000"/>
                <w:kern w:val="0"/>
                <w:sz w:val="24"/>
                <w:szCs w:val="24"/>
                <w:u w:val="none"/>
                <w:lang w:val="en-US" w:eastAsia="zh-CN" w:bidi="ar"/>
              </w:rPr>
            </w:pPr>
          </w:p>
        </w:tc>
        <w:tc>
          <w:tcPr>
            <w:tcW w:w="1564" w:type="dxa"/>
            <w:vMerge w:val="continue"/>
            <w:tcBorders>
              <w:left w:val="single" w:color="000000" w:sz="4" w:space="0"/>
              <w:right w:val="single" w:color="000000" w:sz="4" w:space="0"/>
            </w:tcBorders>
            <w:shd w:val="clear" w:color="auto" w:fill="auto"/>
            <w:vAlign w:val="center"/>
          </w:tcPr>
          <w:p w14:paraId="14E2A9D2">
            <w:pPr>
              <w:keepNext w:val="0"/>
              <w:keepLines w:val="0"/>
              <w:widowControl/>
              <w:suppressLineNumbers w:val="0"/>
              <w:ind w:firstLine="240" w:firstLineChars="100"/>
              <w:jc w:val="center"/>
              <w:textAlignment w:val="center"/>
              <w:rPr>
                <w:rFonts w:hint="eastAsia" w:ascii="仿宋" w:hAnsi="仿宋" w:eastAsia="仿宋" w:cs="仿宋"/>
                <w:i w:val="0"/>
                <w:iCs w:val="0"/>
                <w:color w:val="000000"/>
                <w:kern w:val="0"/>
                <w:sz w:val="24"/>
                <w:szCs w:val="24"/>
                <w:u w:val="none"/>
                <w:lang w:val="en-US" w:eastAsia="zh-CN" w:bidi="ar"/>
              </w:rPr>
            </w:pPr>
          </w:p>
        </w:tc>
        <w:tc>
          <w:tcPr>
            <w:tcW w:w="2014" w:type="dxa"/>
            <w:vMerge w:val="continue"/>
            <w:tcBorders>
              <w:left w:val="single" w:color="000000" w:sz="4" w:space="0"/>
              <w:right w:val="single" w:color="000000" w:sz="4" w:space="0"/>
            </w:tcBorders>
            <w:shd w:val="clear" w:color="auto" w:fill="auto"/>
            <w:vAlign w:val="center"/>
          </w:tcPr>
          <w:p w14:paraId="3B4782BF">
            <w:pPr>
              <w:keepNext w:val="0"/>
              <w:keepLines w:val="0"/>
              <w:widowControl/>
              <w:suppressLineNumbers w:val="0"/>
              <w:ind w:firstLine="240" w:firstLineChars="100"/>
              <w:jc w:val="center"/>
              <w:textAlignment w:val="center"/>
              <w:rPr>
                <w:rFonts w:hint="eastAsia" w:ascii="仿宋" w:hAnsi="仿宋" w:eastAsia="仿宋" w:cs="仿宋"/>
                <w:i w:val="0"/>
                <w:iCs w:val="0"/>
                <w:color w:val="000000"/>
                <w:kern w:val="0"/>
                <w:sz w:val="24"/>
                <w:szCs w:val="24"/>
                <w:u w:val="none"/>
                <w:lang w:val="en-US" w:eastAsia="zh-CN" w:bidi="ar"/>
              </w:rPr>
            </w:pPr>
          </w:p>
        </w:tc>
        <w:tc>
          <w:tcPr>
            <w:tcW w:w="1176" w:type="dxa"/>
            <w:vMerge w:val="continue"/>
            <w:tcBorders>
              <w:left w:val="single" w:color="000000" w:sz="4" w:space="0"/>
              <w:right w:val="single" w:color="000000" w:sz="4" w:space="0"/>
            </w:tcBorders>
            <w:shd w:val="clear" w:color="auto" w:fill="auto"/>
            <w:vAlign w:val="center"/>
          </w:tcPr>
          <w:p w14:paraId="083756AE">
            <w:pPr>
              <w:keepNext w:val="0"/>
              <w:keepLines w:val="0"/>
              <w:widowControl/>
              <w:suppressLineNumbers w:val="0"/>
              <w:ind w:firstLine="240" w:firstLineChars="100"/>
              <w:jc w:val="center"/>
              <w:textAlignment w:val="center"/>
              <w:rPr>
                <w:rFonts w:hint="eastAsia" w:ascii="仿宋" w:hAnsi="仿宋" w:eastAsia="仿宋" w:cs="仿宋"/>
                <w:i w:val="0"/>
                <w:iCs w:val="0"/>
                <w:color w:val="000000"/>
                <w:kern w:val="0"/>
                <w:sz w:val="24"/>
                <w:szCs w:val="24"/>
                <w:u w:val="none"/>
                <w:lang w:val="en-US" w:eastAsia="zh-CN" w:bidi="ar"/>
              </w:rPr>
            </w:pPr>
          </w:p>
        </w:tc>
        <w:tc>
          <w:tcPr>
            <w:tcW w:w="2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734200">
            <w:pPr>
              <w:keepNext w:val="0"/>
              <w:keepLines w:val="0"/>
              <w:widowControl/>
              <w:suppressLineNumbers w:val="0"/>
              <w:ind w:left="0" w:leftChars="0" w:firstLine="0" w:firstLineChars="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限下率（%）：</w:t>
            </w:r>
          </w:p>
        </w:tc>
      </w:tr>
      <w:tr w14:paraId="5C317F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2" w:hRule="atLeast"/>
        </w:trPr>
        <w:tc>
          <w:tcPr>
            <w:tcW w:w="1776" w:type="dxa"/>
            <w:vMerge w:val="continue"/>
            <w:tcBorders>
              <w:left w:val="single" w:color="000000" w:sz="4" w:space="0"/>
              <w:bottom w:val="single" w:color="000000" w:sz="4" w:space="0"/>
              <w:right w:val="single" w:color="000000" w:sz="4" w:space="0"/>
            </w:tcBorders>
            <w:shd w:val="clear" w:color="auto" w:fill="auto"/>
            <w:noWrap/>
            <w:vAlign w:val="center"/>
          </w:tcPr>
          <w:p w14:paraId="3B46014C">
            <w:pPr>
              <w:keepNext w:val="0"/>
              <w:keepLines w:val="0"/>
              <w:widowControl/>
              <w:suppressLineNumbers w:val="0"/>
              <w:ind w:firstLine="240" w:firstLineChars="100"/>
              <w:jc w:val="center"/>
              <w:textAlignment w:val="center"/>
              <w:rPr>
                <w:rFonts w:hint="eastAsia" w:ascii="仿宋" w:hAnsi="仿宋" w:eastAsia="仿宋" w:cs="仿宋"/>
                <w:i w:val="0"/>
                <w:iCs w:val="0"/>
                <w:color w:val="000000"/>
                <w:kern w:val="0"/>
                <w:sz w:val="24"/>
                <w:szCs w:val="24"/>
                <w:u w:val="none"/>
                <w:lang w:val="en-US" w:eastAsia="zh-CN" w:bidi="ar"/>
              </w:rPr>
            </w:pPr>
          </w:p>
        </w:tc>
        <w:tc>
          <w:tcPr>
            <w:tcW w:w="1126" w:type="dxa"/>
            <w:vMerge w:val="continue"/>
            <w:tcBorders>
              <w:left w:val="single" w:color="000000" w:sz="4" w:space="0"/>
              <w:bottom w:val="single" w:color="000000" w:sz="4" w:space="0"/>
              <w:right w:val="single" w:color="000000" w:sz="4" w:space="0"/>
            </w:tcBorders>
            <w:shd w:val="clear" w:color="auto" w:fill="auto"/>
            <w:vAlign w:val="center"/>
          </w:tcPr>
          <w:p w14:paraId="31BF24B0">
            <w:pPr>
              <w:keepNext w:val="0"/>
              <w:keepLines w:val="0"/>
              <w:widowControl/>
              <w:suppressLineNumbers w:val="0"/>
              <w:ind w:firstLine="240" w:firstLineChars="100"/>
              <w:jc w:val="center"/>
              <w:textAlignment w:val="center"/>
              <w:rPr>
                <w:rFonts w:hint="eastAsia" w:ascii="仿宋" w:hAnsi="仿宋" w:eastAsia="仿宋" w:cs="仿宋"/>
                <w:i w:val="0"/>
                <w:iCs w:val="0"/>
                <w:color w:val="000000"/>
                <w:kern w:val="0"/>
                <w:sz w:val="24"/>
                <w:szCs w:val="24"/>
                <w:u w:val="none"/>
                <w:lang w:val="en-US" w:eastAsia="zh-CN" w:bidi="ar"/>
              </w:rPr>
            </w:pPr>
          </w:p>
        </w:tc>
        <w:tc>
          <w:tcPr>
            <w:tcW w:w="1564" w:type="dxa"/>
            <w:vMerge w:val="continue"/>
            <w:tcBorders>
              <w:left w:val="single" w:color="000000" w:sz="4" w:space="0"/>
              <w:bottom w:val="single" w:color="000000" w:sz="4" w:space="0"/>
              <w:right w:val="single" w:color="000000" w:sz="4" w:space="0"/>
            </w:tcBorders>
            <w:shd w:val="clear" w:color="auto" w:fill="auto"/>
            <w:vAlign w:val="center"/>
          </w:tcPr>
          <w:p w14:paraId="05C2ACE5">
            <w:pPr>
              <w:keepNext w:val="0"/>
              <w:keepLines w:val="0"/>
              <w:widowControl/>
              <w:suppressLineNumbers w:val="0"/>
              <w:ind w:firstLine="240" w:firstLineChars="100"/>
              <w:jc w:val="center"/>
              <w:textAlignment w:val="center"/>
              <w:rPr>
                <w:rFonts w:hint="eastAsia" w:ascii="仿宋" w:hAnsi="仿宋" w:eastAsia="仿宋" w:cs="仿宋"/>
                <w:i w:val="0"/>
                <w:iCs w:val="0"/>
                <w:color w:val="000000"/>
                <w:kern w:val="0"/>
                <w:sz w:val="24"/>
                <w:szCs w:val="24"/>
                <w:u w:val="none"/>
                <w:lang w:val="en-US" w:eastAsia="zh-CN" w:bidi="ar"/>
              </w:rPr>
            </w:pPr>
          </w:p>
        </w:tc>
        <w:tc>
          <w:tcPr>
            <w:tcW w:w="2014" w:type="dxa"/>
            <w:vMerge w:val="continue"/>
            <w:tcBorders>
              <w:left w:val="single" w:color="000000" w:sz="4" w:space="0"/>
              <w:bottom w:val="single" w:color="000000" w:sz="4" w:space="0"/>
              <w:right w:val="single" w:color="000000" w:sz="4" w:space="0"/>
            </w:tcBorders>
            <w:shd w:val="clear" w:color="auto" w:fill="auto"/>
            <w:vAlign w:val="center"/>
          </w:tcPr>
          <w:p w14:paraId="3D490E44">
            <w:pPr>
              <w:keepNext w:val="0"/>
              <w:keepLines w:val="0"/>
              <w:widowControl/>
              <w:suppressLineNumbers w:val="0"/>
              <w:ind w:firstLine="240" w:firstLineChars="100"/>
              <w:jc w:val="center"/>
              <w:textAlignment w:val="center"/>
              <w:rPr>
                <w:rFonts w:hint="eastAsia" w:ascii="仿宋" w:hAnsi="仿宋" w:eastAsia="仿宋" w:cs="仿宋"/>
                <w:i w:val="0"/>
                <w:iCs w:val="0"/>
                <w:color w:val="000000"/>
                <w:kern w:val="0"/>
                <w:sz w:val="24"/>
                <w:szCs w:val="24"/>
                <w:u w:val="none"/>
                <w:lang w:val="en-US" w:eastAsia="zh-CN" w:bidi="ar"/>
              </w:rPr>
            </w:pPr>
          </w:p>
        </w:tc>
        <w:tc>
          <w:tcPr>
            <w:tcW w:w="1176" w:type="dxa"/>
            <w:vMerge w:val="continue"/>
            <w:tcBorders>
              <w:left w:val="single" w:color="000000" w:sz="4" w:space="0"/>
              <w:bottom w:val="single" w:color="000000" w:sz="4" w:space="0"/>
              <w:right w:val="single" w:color="000000" w:sz="4" w:space="0"/>
            </w:tcBorders>
            <w:shd w:val="clear" w:color="auto" w:fill="auto"/>
            <w:vAlign w:val="center"/>
          </w:tcPr>
          <w:p w14:paraId="3A3529C2">
            <w:pPr>
              <w:keepNext w:val="0"/>
              <w:keepLines w:val="0"/>
              <w:widowControl/>
              <w:suppressLineNumbers w:val="0"/>
              <w:ind w:firstLine="240" w:firstLineChars="100"/>
              <w:jc w:val="center"/>
              <w:textAlignment w:val="center"/>
              <w:rPr>
                <w:rFonts w:hint="eastAsia" w:ascii="仿宋" w:hAnsi="仿宋" w:eastAsia="仿宋" w:cs="仿宋"/>
                <w:i w:val="0"/>
                <w:iCs w:val="0"/>
                <w:color w:val="000000"/>
                <w:kern w:val="0"/>
                <w:sz w:val="24"/>
                <w:szCs w:val="24"/>
                <w:u w:val="none"/>
                <w:lang w:val="en-US" w:eastAsia="zh-CN" w:bidi="ar"/>
              </w:rPr>
            </w:pPr>
          </w:p>
        </w:tc>
        <w:tc>
          <w:tcPr>
            <w:tcW w:w="2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7C3DCD">
            <w:pPr>
              <w:keepNext w:val="0"/>
              <w:keepLines w:val="0"/>
              <w:widowControl/>
              <w:suppressLineNumbers w:val="0"/>
              <w:ind w:left="0" w:leftChars="0" w:firstLine="0" w:firstLineChars="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含矸率（%）：</w:t>
            </w:r>
          </w:p>
        </w:tc>
      </w:tr>
      <w:tr w14:paraId="485EB4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2" w:hRule="atLeast"/>
        </w:trPr>
        <w:tc>
          <w:tcPr>
            <w:tcW w:w="1776" w:type="dxa"/>
            <w:vMerge w:val="restart"/>
            <w:tcBorders>
              <w:top w:val="single" w:color="000000" w:sz="4" w:space="0"/>
              <w:left w:val="single" w:color="000000" w:sz="4" w:space="0"/>
              <w:right w:val="single" w:color="000000" w:sz="4" w:space="0"/>
            </w:tcBorders>
            <w:shd w:val="clear" w:color="auto" w:fill="auto"/>
            <w:noWrap/>
            <w:vAlign w:val="center"/>
          </w:tcPr>
          <w:p w14:paraId="715BD406">
            <w:pPr>
              <w:keepNext w:val="0"/>
              <w:keepLines w:val="0"/>
              <w:widowControl/>
              <w:suppressLineNumbers w:val="0"/>
              <w:ind w:left="0" w:leftChars="0" w:firstLine="0" w:firstLineChars="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cs="仿宋"/>
                <w:i w:val="0"/>
                <w:iCs w:val="0"/>
                <w:color w:val="000000"/>
                <w:kern w:val="0"/>
                <w:sz w:val="24"/>
                <w:szCs w:val="24"/>
                <w:u w:val="none"/>
                <w:lang w:val="en-US" w:eastAsia="zh-CN" w:bidi="ar"/>
              </w:rPr>
              <w:t>9</w:t>
            </w:r>
            <w:r>
              <w:rPr>
                <w:rFonts w:hint="eastAsia" w:ascii="仿宋" w:hAnsi="仿宋" w:eastAsia="仿宋" w:cs="仿宋"/>
                <w:i w:val="0"/>
                <w:iCs w:val="0"/>
                <w:color w:val="000000"/>
                <w:kern w:val="0"/>
                <w:sz w:val="24"/>
                <w:szCs w:val="24"/>
                <w:u w:val="none"/>
                <w:lang w:val="en-US" w:eastAsia="zh-CN" w:bidi="ar"/>
              </w:rPr>
              <w:t>:</w:t>
            </w:r>
            <w:r>
              <w:rPr>
                <w:rFonts w:hint="eastAsia" w:cs="仿宋"/>
                <w:i w:val="0"/>
                <w:iCs w:val="0"/>
                <w:color w:val="000000"/>
                <w:kern w:val="0"/>
                <w:sz w:val="24"/>
                <w:szCs w:val="24"/>
                <w:u w:val="none"/>
                <w:lang w:val="en-US" w:eastAsia="zh-CN" w:bidi="ar"/>
              </w:rPr>
              <w:t>2</w:t>
            </w:r>
            <w:r>
              <w:rPr>
                <w:rFonts w:hint="eastAsia" w:ascii="仿宋" w:hAnsi="仿宋" w:eastAsia="仿宋" w:cs="仿宋"/>
                <w:i w:val="0"/>
                <w:iCs w:val="0"/>
                <w:color w:val="000000"/>
                <w:kern w:val="0"/>
                <w:sz w:val="24"/>
                <w:szCs w:val="24"/>
                <w:u w:val="none"/>
                <w:lang w:val="en-US" w:eastAsia="zh-CN" w:bidi="ar"/>
              </w:rPr>
              <w:t>0-</w:t>
            </w:r>
            <w:r>
              <w:rPr>
                <w:rFonts w:hint="eastAsia" w:cs="仿宋"/>
                <w:i w:val="0"/>
                <w:iCs w:val="0"/>
                <w:color w:val="000000"/>
                <w:kern w:val="0"/>
                <w:sz w:val="24"/>
                <w:szCs w:val="24"/>
                <w:u w:val="none"/>
                <w:lang w:val="en-US" w:eastAsia="zh-CN" w:bidi="ar"/>
              </w:rPr>
              <w:t>9</w:t>
            </w:r>
            <w:r>
              <w:rPr>
                <w:rFonts w:hint="eastAsia" w:ascii="仿宋" w:hAnsi="仿宋" w:eastAsia="仿宋" w:cs="仿宋"/>
                <w:i w:val="0"/>
                <w:iCs w:val="0"/>
                <w:color w:val="000000"/>
                <w:kern w:val="0"/>
                <w:sz w:val="24"/>
                <w:szCs w:val="24"/>
                <w:u w:val="none"/>
                <w:lang w:val="en-US" w:eastAsia="zh-CN" w:bidi="ar"/>
              </w:rPr>
              <w:t>:</w:t>
            </w:r>
            <w:r>
              <w:rPr>
                <w:rFonts w:hint="eastAsia" w:cs="仿宋"/>
                <w:i w:val="0"/>
                <w:iCs w:val="0"/>
                <w:color w:val="000000"/>
                <w:kern w:val="0"/>
                <w:sz w:val="24"/>
                <w:szCs w:val="24"/>
                <w:u w:val="none"/>
                <w:lang w:val="en-US" w:eastAsia="zh-CN" w:bidi="ar"/>
              </w:rPr>
              <w:t>4</w:t>
            </w:r>
            <w:r>
              <w:rPr>
                <w:rFonts w:hint="eastAsia" w:ascii="仿宋" w:hAnsi="仿宋" w:eastAsia="仿宋" w:cs="仿宋"/>
                <w:i w:val="0"/>
                <w:iCs w:val="0"/>
                <w:color w:val="000000"/>
                <w:kern w:val="0"/>
                <w:sz w:val="24"/>
                <w:szCs w:val="24"/>
                <w:u w:val="none"/>
                <w:lang w:val="en-US" w:eastAsia="zh-CN" w:bidi="ar"/>
              </w:rPr>
              <w:t>0</w:t>
            </w:r>
          </w:p>
        </w:tc>
        <w:tc>
          <w:tcPr>
            <w:tcW w:w="1126" w:type="dxa"/>
            <w:vMerge w:val="restart"/>
            <w:tcBorders>
              <w:top w:val="single" w:color="000000" w:sz="4" w:space="0"/>
              <w:left w:val="single" w:color="000000" w:sz="4" w:space="0"/>
              <w:right w:val="single" w:color="000000" w:sz="4" w:space="0"/>
            </w:tcBorders>
            <w:shd w:val="clear" w:color="auto" w:fill="auto"/>
            <w:vAlign w:val="center"/>
          </w:tcPr>
          <w:p w14:paraId="3797469E">
            <w:pPr>
              <w:keepNext w:val="0"/>
              <w:keepLines w:val="0"/>
              <w:widowControl/>
              <w:suppressLineNumbers w:val="0"/>
              <w:ind w:left="0" w:leftChars="0" w:firstLine="0" w:firstLineChars="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4"/>
                <w:szCs w:val="24"/>
                <w:u w:val="none"/>
                <w:lang w:val="en-US" w:eastAsia="zh-CN" w:bidi="ar"/>
              </w:rPr>
              <w:t>建庄矿</w:t>
            </w:r>
          </w:p>
        </w:tc>
        <w:tc>
          <w:tcPr>
            <w:tcW w:w="1564" w:type="dxa"/>
            <w:vMerge w:val="restart"/>
            <w:tcBorders>
              <w:top w:val="single" w:color="000000" w:sz="4" w:space="0"/>
              <w:left w:val="single" w:color="000000" w:sz="4" w:space="0"/>
              <w:right w:val="single" w:color="000000" w:sz="4" w:space="0"/>
            </w:tcBorders>
            <w:shd w:val="clear" w:color="auto" w:fill="auto"/>
            <w:vAlign w:val="center"/>
          </w:tcPr>
          <w:p w14:paraId="05A48F12">
            <w:pPr>
              <w:keepNext w:val="0"/>
              <w:keepLines w:val="0"/>
              <w:widowControl/>
              <w:suppressLineNumbers w:val="0"/>
              <w:ind w:left="0" w:leftChars="0" w:firstLine="0" w:firstLineChars="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4"/>
                <w:szCs w:val="24"/>
                <w:u w:val="none"/>
                <w:lang w:val="en-US" w:eastAsia="zh-CN" w:bidi="ar"/>
              </w:rPr>
              <w:t>混煤</w:t>
            </w:r>
          </w:p>
        </w:tc>
        <w:tc>
          <w:tcPr>
            <w:tcW w:w="2014" w:type="dxa"/>
            <w:vMerge w:val="restart"/>
            <w:tcBorders>
              <w:top w:val="single" w:color="000000" w:sz="4" w:space="0"/>
              <w:left w:val="single" w:color="000000" w:sz="4" w:space="0"/>
              <w:right w:val="single" w:color="000000" w:sz="4" w:space="0"/>
            </w:tcBorders>
            <w:shd w:val="clear" w:color="auto" w:fill="auto"/>
            <w:vAlign w:val="center"/>
          </w:tcPr>
          <w:p w14:paraId="07291345">
            <w:pPr>
              <w:keepNext w:val="0"/>
              <w:keepLines w:val="0"/>
              <w:widowControl/>
              <w:suppressLineNumbers w:val="0"/>
              <w:ind w:left="0" w:leftChars="0" w:firstLine="0" w:firstLineChars="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cs="仿宋"/>
                <w:i w:val="0"/>
                <w:iCs w:val="0"/>
                <w:color w:val="000000"/>
                <w:kern w:val="0"/>
                <w:sz w:val="24"/>
                <w:szCs w:val="24"/>
                <w:u w:val="none"/>
                <w:lang w:val="en-US" w:eastAsia="zh-CN" w:bidi="ar"/>
              </w:rPr>
              <w:t>35000</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w:t>
            </w:r>
            <w:r>
              <w:rPr>
                <w:rFonts w:hint="eastAsia" w:cs="仿宋"/>
                <w:i w:val="0"/>
                <w:iCs w:val="0"/>
                <w:color w:val="000000"/>
                <w:kern w:val="0"/>
                <w:sz w:val="24"/>
                <w:szCs w:val="24"/>
                <w:u w:val="none"/>
                <w:lang w:val="en-US" w:eastAsia="zh-CN" w:bidi="ar"/>
              </w:rPr>
              <w:t>5000*4，3</w:t>
            </w:r>
            <w:r>
              <w:rPr>
                <w:rFonts w:hint="eastAsia" w:ascii="仿宋" w:hAnsi="仿宋" w:eastAsia="仿宋" w:cs="仿宋"/>
                <w:i w:val="0"/>
                <w:iCs w:val="0"/>
                <w:color w:val="000000"/>
                <w:kern w:val="0"/>
                <w:sz w:val="24"/>
                <w:szCs w:val="24"/>
                <w:u w:val="none"/>
                <w:lang w:val="en-US" w:eastAsia="zh-CN" w:bidi="ar"/>
              </w:rPr>
              <w:t>000*</w:t>
            </w:r>
            <w:r>
              <w:rPr>
                <w:rFonts w:hint="eastAsia" w:cs="仿宋"/>
                <w:i w:val="0"/>
                <w:iCs w:val="0"/>
                <w:color w:val="000000"/>
                <w:kern w:val="0"/>
                <w:sz w:val="24"/>
                <w:szCs w:val="24"/>
                <w:u w:val="none"/>
                <w:lang w:val="en-US" w:eastAsia="zh-CN" w:bidi="ar"/>
              </w:rPr>
              <w:t>5</w:t>
            </w:r>
            <w:r>
              <w:rPr>
                <w:rFonts w:hint="eastAsia" w:ascii="仿宋" w:hAnsi="仿宋" w:eastAsia="仿宋" w:cs="仿宋"/>
                <w:i w:val="0"/>
                <w:iCs w:val="0"/>
                <w:color w:val="000000"/>
                <w:kern w:val="0"/>
                <w:sz w:val="24"/>
                <w:szCs w:val="24"/>
                <w:u w:val="none"/>
                <w:lang w:val="en-US" w:eastAsia="zh-CN" w:bidi="ar"/>
              </w:rPr>
              <w:t>)</w:t>
            </w:r>
          </w:p>
        </w:tc>
        <w:tc>
          <w:tcPr>
            <w:tcW w:w="1176" w:type="dxa"/>
            <w:vMerge w:val="restart"/>
            <w:tcBorders>
              <w:top w:val="single" w:color="000000" w:sz="4" w:space="0"/>
              <w:left w:val="single" w:color="000000" w:sz="4" w:space="0"/>
              <w:right w:val="single" w:color="000000" w:sz="4" w:space="0"/>
            </w:tcBorders>
            <w:shd w:val="clear" w:color="auto" w:fill="auto"/>
            <w:vAlign w:val="center"/>
          </w:tcPr>
          <w:p w14:paraId="6026F74C">
            <w:pPr>
              <w:keepNext w:val="0"/>
              <w:keepLines w:val="0"/>
              <w:widowControl/>
              <w:suppressLineNumbers w:val="0"/>
              <w:ind w:left="0" w:leftChars="0" w:firstLine="0" w:firstLineChars="0"/>
              <w:jc w:val="center"/>
              <w:textAlignment w:val="center"/>
              <w:rPr>
                <w:rFonts w:hint="default" w:ascii="仿宋" w:hAnsi="仿宋" w:eastAsia="仿宋" w:cs="仿宋"/>
                <w:i w:val="0"/>
                <w:iCs w:val="0"/>
                <w:color w:val="000000"/>
                <w:kern w:val="2"/>
                <w:sz w:val="24"/>
                <w:szCs w:val="24"/>
                <w:u w:val="none"/>
                <w:lang w:val="en-US" w:eastAsia="zh-CN" w:bidi="ar-SA"/>
              </w:rPr>
            </w:pPr>
            <w:r>
              <w:rPr>
                <w:rFonts w:hint="eastAsia" w:cs="仿宋"/>
                <w:i w:val="0"/>
                <w:iCs w:val="0"/>
                <w:color w:val="000000"/>
                <w:kern w:val="0"/>
                <w:sz w:val="24"/>
                <w:szCs w:val="24"/>
                <w:u w:val="none"/>
                <w:lang w:val="en-US" w:eastAsia="zh-CN" w:bidi="ar"/>
              </w:rPr>
              <w:t>530</w:t>
            </w:r>
          </w:p>
        </w:tc>
        <w:tc>
          <w:tcPr>
            <w:tcW w:w="2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442D85">
            <w:pPr>
              <w:keepNext w:val="0"/>
              <w:keepLines w:val="0"/>
              <w:widowControl/>
              <w:suppressLineNumbers w:val="0"/>
              <w:ind w:left="0" w:leftChars="0" w:firstLine="0" w:firstLineChars="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发热量(Qnet,ar)大卡：4</w:t>
            </w:r>
            <w:r>
              <w:rPr>
                <w:rFonts w:hint="eastAsia" w:cs="仿宋"/>
                <w:i w:val="0"/>
                <w:iCs w:val="0"/>
                <w:color w:val="000000"/>
                <w:kern w:val="0"/>
                <w:sz w:val="24"/>
                <w:szCs w:val="24"/>
                <w:u w:val="none"/>
                <w:lang w:val="en-US" w:eastAsia="zh-CN" w:bidi="ar"/>
              </w:rPr>
              <w:t>7</w:t>
            </w:r>
            <w:r>
              <w:rPr>
                <w:rFonts w:hint="eastAsia" w:ascii="仿宋" w:hAnsi="仿宋" w:eastAsia="仿宋" w:cs="仿宋"/>
                <w:i w:val="0"/>
                <w:iCs w:val="0"/>
                <w:color w:val="000000"/>
                <w:kern w:val="0"/>
                <w:sz w:val="24"/>
                <w:szCs w:val="24"/>
                <w:u w:val="none"/>
                <w:lang w:val="en-US" w:eastAsia="zh-CN" w:bidi="ar"/>
              </w:rPr>
              <w:t>00-5</w:t>
            </w:r>
            <w:r>
              <w:rPr>
                <w:rFonts w:hint="eastAsia" w:cs="仿宋"/>
                <w:i w:val="0"/>
                <w:iCs w:val="0"/>
                <w:color w:val="000000"/>
                <w:kern w:val="0"/>
                <w:sz w:val="24"/>
                <w:szCs w:val="24"/>
                <w:u w:val="none"/>
                <w:lang w:val="en-US" w:eastAsia="zh-CN" w:bidi="ar"/>
              </w:rPr>
              <w:t>0</w:t>
            </w:r>
            <w:r>
              <w:rPr>
                <w:rFonts w:hint="eastAsia" w:ascii="仿宋" w:hAnsi="仿宋" w:eastAsia="仿宋" w:cs="仿宋"/>
                <w:i w:val="0"/>
                <w:iCs w:val="0"/>
                <w:color w:val="000000"/>
                <w:kern w:val="0"/>
                <w:sz w:val="24"/>
                <w:szCs w:val="24"/>
                <w:u w:val="none"/>
                <w:lang w:val="en-US" w:eastAsia="zh-CN" w:bidi="ar"/>
              </w:rPr>
              <w:t>00</w:t>
            </w:r>
          </w:p>
        </w:tc>
      </w:tr>
      <w:tr w14:paraId="048F8F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2" w:hRule="atLeast"/>
        </w:trPr>
        <w:tc>
          <w:tcPr>
            <w:tcW w:w="1776" w:type="dxa"/>
            <w:vMerge w:val="continue"/>
            <w:tcBorders>
              <w:left w:val="single" w:color="000000" w:sz="4" w:space="0"/>
              <w:right w:val="single" w:color="000000" w:sz="4" w:space="0"/>
            </w:tcBorders>
            <w:shd w:val="clear" w:color="auto" w:fill="auto"/>
            <w:noWrap/>
            <w:vAlign w:val="center"/>
          </w:tcPr>
          <w:p w14:paraId="7344778F">
            <w:pPr>
              <w:keepNext w:val="0"/>
              <w:keepLines w:val="0"/>
              <w:widowControl/>
              <w:suppressLineNumbers w:val="0"/>
              <w:ind w:firstLine="240" w:firstLineChars="100"/>
              <w:jc w:val="center"/>
              <w:textAlignment w:val="center"/>
            </w:pPr>
          </w:p>
        </w:tc>
        <w:tc>
          <w:tcPr>
            <w:tcW w:w="1126" w:type="dxa"/>
            <w:vMerge w:val="continue"/>
            <w:tcBorders>
              <w:left w:val="single" w:color="000000" w:sz="4" w:space="0"/>
              <w:right w:val="single" w:color="000000" w:sz="4" w:space="0"/>
            </w:tcBorders>
            <w:shd w:val="clear" w:color="auto" w:fill="auto"/>
            <w:vAlign w:val="center"/>
          </w:tcPr>
          <w:p w14:paraId="29A482C0">
            <w:pPr>
              <w:keepNext w:val="0"/>
              <w:keepLines w:val="0"/>
              <w:widowControl/>
              <w:suppressLineNumbers w:val="0"/>
              <w:ind w:firstLine="240" w:firstLineChars="100"/>
              <w:jc w:val="center"/>
              <w:textAlignment w:val="center"/>
            </w:pPr>
          </w:p>
        </w:tc>
        <w:tc>
          <w:tcPr>
            <w:tcW w:w="1564" w:type="dxa"/>
            <w:vMerge w:val="continue"/>
            <w:tcBorders>
              <w:left w:val="single" w:color="000000" w:sz="4" w:space="0"/>
              <w:right w:val="single" w:color="000000" w:sz="4" w:space="0"/>
            </w:tcBorders>
            <w:shd w:val="clear" w:color="auto" w:fill="auto"/>
            <w:vAlign w:val="center"/>
          </w:tcPr>
          <w:p w14:paraId="0336D0DA">
            <w:pPr>
              <w:keepNext w:val="0"/>
              <w:keepLines w:val="0"/>
              <w:widowControl/>
              <w:suppressLineNumbers w:val="0"/>
              <w:ind w:firstLine="240" w:firstLineChars="100"/>
              <w:jc w:val="center"/>
              <w:textAlignment w:val="center"/>
            </w:pPr>
          </w:p>
        </w:tc>
        <w:tc>
          <w:tcPr>
            <w:tcW w:w="2014" w:type="dxa"/>
            <w:vMerge w:val="continue"/>
            <w:tcBorders>
              <w:left w:val="single" w:color="000000" w:sz="4" w:space="0"/>
              <w:right w:val="single" w:color="000000" w:sz="4" w:space="0"/>
            </w:tcBorders>
            <w:shd w:val="clear" w:color="auto" w:fill="auto"/>
            <w:vAlign w:val="center"/>
          </w:tcPr>
          <w:p w14:paraId="2104FC38">
            <w:pPr>
              <w:keepNext w:val="0"/>
              <w:keepLines w:val="0"/>
              <w:widowControl/>
              <w:suppressLineNumbers w:val="0"/>
              <w:ind w:firstLine="240" w:firstLineChars="100"/>
              <w:jc w:val="center"/>
              <w:textAlignment w:val="center"/>
            </w:pPr>
          </w:p>
        </w:tc>
        <w:tc>
          <w:tcPr>
            <w:tcW w:w="1176" w:type="dxa"/>
            <w:vMerge w:val="continue"/>
            <w:tcBorders>
              <w:left w:val="single" w:color="000000" w:sz="4" w:space="0"/>
              <w:right w:val="single" w:color="000000" w:sz="4" w:space="0"/>
            </w:tcBorders>
            <w:shd w:val="clear" w:color="auto" w:fill="auto"/>
            <w:vAlign w:val="center"/>
          </w:tcPr>
          <w:p w14:paraId="1015CE39">
            <w:pPr>
              <w:keepNext w:val="0"/>
              <w:keepLines w:val="0"/>
              <w:widowControl/>
              <w:suppressLineNumbers w:val="0"/>
              <w:ind w:firstLine="240" w:firstLineChars="100"/>
              <w:jc w:val="center"/>
              <w:textAlignment w:val="center"/>
            </w:pPr>
          </w:p>
        </w:tc>
        <w:tc>
          <w:tcPr>
            <w:tcW w:w="2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0561E">
            <w:pPr>
              <w:keepNext w:val="0"/>
              <w:keepLines w:val="0"/>
              <w:widowControl/>
              <w:suppressLineNumbers w:val="0"/>
              <w:ind w:left="0" w:leftChars="0" w:firstLine="0" w:firstLineChars="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灰分（Ad%)：≤30%</w:t>
            </w:r>
          </w:p>
        </w:tc>
      </w:tr>
      <w:tr w14:paraId="6ADB50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2" w:hRule="atLeast"/>
        </w:trPr>
        <w:tc>
          <w:tcPr>
            <w:tcW w:w="1776" w:type="dxa"/>
            <w:vMerge w:val="continue"/>
            <w:tcBorders>
              <w:left w:val="single" w:color="000000" w:sz="4" w:space="0"/>
              <w:right w:val="single" w:color="000000" w:sz="4" w:space="0"/>
            </w:tcBorders>
            <w:shd w:val="clear" w:color="auto" w:fill="auto"/>
            <w:noWrap/>
            <w:vAlign w:val="center"/>
          </w:tcPr>
          <w:p w14:paraId="0FB5CA68">
            <w:pPr>
              <w:keepNext w:val="0"/>
              <w:keepLines w:val="0"/>
              <w:widowControl/>
              <w:suppressLineNumbers w:val="0"/>
              <w:ind w:firstLine="240" w:firstLineChars="100"/>
              <w:jc w:val="center"/>
              <w:textAlignment w:val="center"/>
              <w:rPr>
                <w:rFonts w:hint="eastAsia" w:ascii="仿宋" w:hAnsi="仿宋" w:eastAsia="仿宋" w:cs="仿宋"/>
                <w:i w:val="0"/>
                <w:iCs w:val="0"/>
                <w:color w:val="000000"/>
                <w:kern w:val="0"/>
                <w:sz w:val="24"/>
                <w:szCs w:val="24"/>
                <w:u w:val="none"/>
                <w:lang w:val="en-US" w:eastAsia="zh-CN" w:bidi="ar"/>
              </w:rPr>
            </w:pPr>
          </w:p>
        </w:tc>
        <w:tc>
          <w:tcPr>
            <w:tcW w:w="1126" w:type="dxa"/>
            <w:vMerge w:val="continue"/>
            <w:tcBorders>
              <w:left w:val="single" w:color="000000" w:sz="4" w:space="0"/>
              <w:right w:val="single" w:color="000000" w:sz="4" w:space="0"/>
            </w:tcBorders>
            <w:shd w:val="clear" w:color="auto" w:fill="auto"/>
            <w:vAlign w:val="center"/>
          </w:tcPr>
          <w:p w14:paraId="3424B9F5">
            <w:pPr>
              <w:keepNext w:val="0"/>
              <w:keepLines w:val="0"/>
              <w:widowControl/>
              <w:suppressLineNumbers w:val="0"/>
              <w:ind w:firstLine="240" w:firstLineChars="100"/>
              <w:jc w:val="center"/>
              <w:textAlignment w:val="center"/>
              <w:rPr>
                <w:rFonts w:hint="eastAsia" w:ascii="仿宋" w:hAnsi="仿宋" w:eastAsia="仿宋" w:cs="仿宋"/>
                <w:i w:val="0"/>
                <w:iCs w:val="0"/>
                <w:color w:val="000000"/>
                <w:kern w:val="0"/>
                <w:sz w:val="24"/>
                <w:szCs w:val="24"/>
                <w:u w:val="none"/>
                <w:lang w:val="en-US" w:eastAsia="zh-CN" w:bidi="ar"/>
              </w:rPr>
            </w:pPr>
          </w:p>
        </w:tc>
        <w:tc>
          <w:tcPr>
            <w:tcW w:w="1564" w:type="dxa"/>
            <w:vMerge w:val="continue"/>
            <w:tcBorders>
              <w:left w:val="single" w:color="000000" w:sz="4" w:space="0"/>
              <w:right w:val="single" w:color="000000" w:sz="4" w:space="0"/>
            </w:tcBorders>
            <w:shd w:val="clear" w:color="auto" w:fill="auto"/>
            <w:vAlign w:val="center"/>
          </w:tcPr>
          <w:p w14:paraId="78132404">
            <w:pPr>
              <w:keepNext w:val="0"/>
              <w:keepLines w:val="0"/>
              <w:widowControl/>
              <w:suppressLineNumbers w:val="0"/>
              <w:ind w:firstLine="240" w:firstLineChars="100"/>
              <w:jc w:val="center"/>
              <w:textAlignment w:val="center"/>
              <w:rPr>
                <w:rFonts w:hint="eastAsia" w:ascii="仿宋" w:hAnsi="仿宋" w:eastAsia="仿宋" w:cs="仿宋"/>
                <w:i w:val="0"/>
                <w:iCs w:val="0"/>
                <w:color w:val="000000"/>
                <w:kern w:val="0"/>
                <w:sz w:val="24"/>
                <w:szCs w:val="24"/>
                <w:u w:val="none"/>
                <w:lang w:val="en-US" w:eastAsia="zh-CN" w:bidi="ar"/>
              </w:rPr>
            </w:pPr>
          </w:p>
        </w:tc>
        <w:tc>
          <w:tcPr>
            <w:tcW w:w="2014" w:type="dxa"/>
            <w:vMerge w:val="continue"/>
            <w:tcBorders>
              <w:left w:val="single" w:color="000000" w:sz="4" w:space="0"/>
              <w:right w:val="single" w:color="000000" w:sz="4" w:space="0"/>
            </w:tcBorders>
            <w:shd w:val="clear" w:color="auto" w:fill="auto"/>
            <w:vAlign w:val="center"/>
          </w:tcPr>
          <w:p w14:paraId="119A554D">
            <w:pPr>
              <w:keepNext w:val="0"/>
              <w:keepLines w:val="0"/>
              <w:widowControl/>
              <w:suppressLineNumbers w:val="0"/>
              <w:ind w:firstLine="240" w:firstLineChars="100"/>
              <w:jc w:val="center"/>
              <w:textAlignment w:val="center"/>
              <w:rPr>
                <w:rFonts w:hint="eastAsia" w:ascii="仿宋" w:hAnsi="仿宋" w:eastAsia="仿宋" w:cs="仿宋"/>
                <w:i w:val="0"/>
                <w:iCs w:val="0"/>
                <w:color w:val="000000"/>
                <w:kern w:val="0"/>
                <w:sz w:val="24"/>
                <w:szCs w:val="24"/>
                <w:u w:val="none"/>
                <w:lang w:val="en-US" w:eastAsia="zh-CN" w:bidi="ar"/>
              </w:rPr>
            </w:pPr>
          </w:p>
        </w:tc>
        <w:tc>
          <w:tcPr>
            <w:tcW w:w="1176" w:type="dxa"/>
            <w:vMerge w:val="continue"/>
            <w:tcBorders>
              <w:left w:val="single" w:color="000000" w:sz="4" w:space="0"/>
              <w:right w:val="single" w:color="000000" w:sz="4" w:space="0"/>
            </w:tcBorders>
            <w:shd w:val="clear" w:color="auto" w:fill="auto"/>
            <w:vAlign w:val="center"/>
          </w:tcPr>
          <w:p w14:paraId="076B7FCE">
            <w:pPr>
              <w:keepNext w:val="0"/>
              <w:keepLines w:val="0"/>
              <w:widowControl/>
              <w:suppressLineNumbers w:val="0"/>
              <w:ind w:firstLine="240" w:firstLineChars="100"/>
              <w:jc w:val="center"/>
              <w:textAlignment w:val="center"/>
              <w:rPr>
                <w:rFonts w:hint="eastAsia" w:ascii="仿宋" w:hAnsi="仿宋" w:eastAsia="仿宋" w:cs="仿宋"/>
                <w:i w:val="0"/>
                <w:iCs w:val="0"/>
                <w:color w:val="000000"/>
                <w:kern w:val="0"/>
                <w:sz w:val="24"/>
                <w:szCs w:val="24"/>
                <w:u w:val="none"/>
                <w:lang w:val="en-US" w:eastAsia="zh-CN" w:bidi="ar"/>
              </w:rPr>
            </w:pPr>
          </w:p>
        </w:tc>
        <w:tc>
          <w:tcPr>
            <w:tcW w:w="2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3C6DC6">
            <w:pPr>
              <w:keepNext w:val="0"/>
              <w:keepLines w:val="0"/>
              <w:widowControl/>
              <w:suppressLineNumbers w:val="0"/>
              <w:ind w:left="0" w:leftChars="0" w:firstLine="0" w:firstLineChars="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硫分(St,d%)：≤1%</w:t>
            </w:r>
          </w:p>
        </w:tc>
      </w:tr>
      <w:tr w14:paraId="53B260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2" w:hRule="atLeast"/>
        </w:trPr>
        <w:tc>
          <w:tcPr>
            <w:tcW w:w="1776" w:type="dxa"/>
            <w:vMerge w:val="continue"/>
            <w:tcBorders>
              <w:left w:val="single" w:color="000000" w:sz="4" w:space="0"/>
              <w:right w:val="single" w:color="000000" w:sz="4" w:space="0"/>
            </w:tcBorders>
            <w:shd w:val="clear" w:color="auto" w:fill="auto"/>
            <w:noWrap/>
            <w:vAlign w:val="center"/>
          </w:tcPr>
          <w:p w14:paraId="4B48856D">
            <w:pPr>
              <w:keepNext w:val="0"/>
              <w:keepLines w:val="0"/>
              <w:widowControl/>
              <w:suppressLineNumbers w:val="0"/>
              <w:ind w:firstLine="240" w:firstLineChars="100"/>
              <w:jc w:val="center"/>
              <w:textAlignment w:val="center"/>
              <w:rPr>
                <w:rFonts w:hint="eastAsia" w:ascii="仿宋" w:hAnsi="仿宋" w:eastAsia="仿宋" w:cs="仿宋"/>
                <w:i w:val="0"/>
                <w:iCs w:val="0"/>
                <w:color w:val="000000"/>
                <w:kern w:val="0"/>
                <w:sz w:val="24"/>
                <w:szCs w:val="24"/>
                <w:u w:val="none"/>
                <w:lang w:val="en-US" w:eastAsia="zh-CN" w:bidi="ar"/>
              </w:rPr>
            </w:pPr>
          </w:p>
        </w:tc>
        <w:tc>
          <w:tcPr>
            <w:tcW w:w="1126" w:type="dxa"/>
            <w:vMerge w:val="continue"/>
            <w:tcBorders>
              <w:left w:val="single" w:color="000000" w:sz="4" w:space="0"/>
              <w:right w:val="single" w:color="000000" w:sz="4" w:space="0"/>
            </w:tcBorders>
            <w:shd w:val="clear" w:color="auto" w:fill="auto"/>
            <w:vAlign w:val="center"/>
          </w:tcPr>
          <w:p w14:paraId="290E3092">
            <w:pPr>
              <w:keepNext w:val="0"/>
              <w:keepLines w:val="0"/>
              <w:widowControl/>
              <w:suppressLineNumbers w:val="0"/>
              <w:ind w:firstLine="240" w:firstLineChars="100"/>
              <w:jc w:val="center"/>
              <w:textAlignment w:val="center"/>
              <w:rPr>
                <w:rFonts w:hint="eastAsia" w:ascii="仿宋" w:hAnsi="仿宋" w:eastAsia="仿宋" w:cs="仿宋"/>
                <w:i w:val="0"/>
                <w:iCs w:val="0"/>
                <w:color w:val="000000"/>
                <w:kern w:val="0"/>
                <w:sz w:val="24"/>
                <w:szCs w:val="24"/>
                <w:u w:val="none"/>
                <w:lang w:val="en-US" w:eastAsia="zh-CN" w:bidi="ar"/>
              </w:rPr>
            </w:pPr>
          </w:p>
        </w:tc>
        <w:tc>
          <w:tcPr>
            <w:tcW w:w="1564" w:type="dxa"/>
            <w:vMerge w:val="continue"/>
            <w:tcBorders>
              <w:left w:val="single" w:color="000000" w:sz="4" w:space="0"/>
              <w:right w:val="single" w:color="000000" w:sz="4" w:space="0"/>
            </w:tcBorders>
            <w:shd w:val="clear" w:color="auto" w:fill="auto"/>
            <w:vAlign w:val="center"/>
          </w:tcPr>
          <w:p w14:paraId="73330167">
            <w:pPr>
              <w:keepNext w:val="0"/>
              <w:keepLines w:val="0"/>
              <w:widowControl/>
              <w:suppressLineNumbers w:val="0"/>
              <w:ind w:firstLine="240" w:firstLineChars="100"/>
              <w:jc w:val="center"/>
              <w:textAlignment w:val="center"/>
              <w:rPr>
                <w:rFonts w:hint="eastAsia" w:ascii="仿宋" w:hAnsi="仿宋" w:eastAsia="仿宋" w:cs="仿宋"/>
                <w:i w:val="0"/>
                <w:iCs w:val="0"/>
                <w:color w:val="000000"/>
                <w:kern w:val="0"/>
                <w:sz w:val="24"/>
                <w:szCs w:val="24"/>
                <w:u w:val="none"/>
                <w:lang w:val="en-US" w:eastAsia="zh-CN" w:bidi="ar"/>
              </w:rPr>
            </w:pPr>
          </w:p>
        </w:tc>
        <w:tc>
          <w:tcPr>
            <w:tcW w:w="2014" w:type="dxa"/>
            <w:vMerge w:val="continue"/>
            <w:tcBorders>
              <w:left w:val="single" w:color="000000" w:sz="4" w:space="0"/>
              <w:right w:val="single" w:color="000000" w:sz="4" w:space="0"/>
            </w:tcBorders>
            <w:shd w:val="clear" w:color="auto" w:fill="auto"/>
            <w:vAlign w:val="center"/>
          </w:tcPr>
          <w:p w14:paraId="494F1BE5">
            <w:pPr>
              <w:keepNext w:val="0"/>
              <w:keepLines w:val="0"/>
              <w:widowControl/>
              <w:suppressLineNumbers w:val="0"/>
              <w:ind w:firstLine="240" w:firstLineChars="100"/>
              <w:jc w:val="center"/>
              <w:textAlignment w:val="center"/>
              <w:rPr>
                <w:rFonts w:hint="eastAsia" w:ascii="仿宋" w:hAnsi="仿宋" w:eastAsia="仿宋" w:cs="仿宋"/>
                <w:i w:val="0"/>
                <w:iCs w:val="0"/>
                <w:color w:val="000000"/>
                <w:kern w:val="0"/>
                <w:sz w:val="24"/>
                <w:szCs w:val="24"/>
                <w:u w:val="none"/>
                <w:lang w:val="en-US" w:eastAsia="zh-CN" w:bidi="ar"/>
              </w:rPr>
            </w:pPr>
          </w:p>
        </w:tc>
        <w:tc>
          <w:tcPr>
            <w:tcW w:w="1176" w:type="dxa"/>
            <w:vMerge w:val="continue"/>
            <w:tcBorders>
              <w:left w:val="single" w:color="000000" w:sz="4" w:space="0"/>
              <w:right w:val="single" w:color="000000" w:sz="4" w:space="0"/>
            </w:tcBorders>
            <w:shd w:val="clear" w:color="auto" w:fill="auto"/>
            <w:vAlign w:val="center"/>
          </w:tcPr>
          <w:p w14:paraId="73FEF197">
            <w:pPr>
              <w:keepNext w:val="0"/>
              <w:keepLines w:val="0"/>
              <w:widowControl/>
              <w:suppressLineNumbers w:val="0"/>
              <w:ind w:firstLine="240" w:firstLineChars="100"/>
              <w:jc w:val="center"/>
              <w:textAlignment w:val="center"/>
              <w:rPr>
                <w:rFonts w:hint="eastAsia" w:ascii="仿宋" w:hAnsi="仿宋" w:eastAsia="仿宋" w:cs="仿宋"/>
                <w:i w:val="0"/>
                <w:iCs w:val="0"/>
                <w:color w:val="000000"/>
                <w:kern w:val="0"/>
                <w:sz w:val="24"/>
                <w:szCs w:val="24"/>
                <w:u w:val="none"/>
                <w:lang w:val="en-US" w:eastAsia="zh-CN" w:bidi="ar"/>
              </w:rPr>
            </w:pPr>
          </w:p>
        </w:tc>
        <w:tc>
          <w:tcPr>
            <w:tcW w:w="2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143CE5">
            <w:pPr>
              <w:keepNext w:val="0"/>
              <w:keepLines w:val="0"/>
              <w:widowControl/>
              <w:suppressLineNumbers w:val="0"/>
              <w:ind w:left="0" w:leftChars="0" w:firstLine="0" w:firstLineChars="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水分(Mt%)：≤10%</w:t>
            </w:r>
          </w:p>
        </w:tc>
      </w:tr>
      <w:tr w14:paraId="5F15DA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2" w:hRule="atLeast"/>
        </w:trPr>
        <w:tc>
          <w:tcPr>
            <w:tcW w:w="1776" w:type="dxa"/>
            <w:vMerge w:val="continue"/>
            <w:tcBorders>
              <w:left w:val="single" w:color="000000" w:sz="4" w:space="0"/>
              <w:right w:val="single" w:color="000000" w:sz="4" w:space="0"/>
            </w:tcBorders>
            <w:shd w:val="clear" w:color="auto" w:fill="auto"/>
            <w:noWrap/>
            <w:vAlign w:val="center"/>
          </w:tcPr>
          <w:p w14:paraId="1B20180A">
            <w:pPr>
              <w:keepNext w:val="0"/>
              <w:keepLines w:val="0"/>
              <w:widowControl/>
              <w:suppressLineNumbers w:val="0"/>
              <w:ind w:firstLine="240" w:firstLineChars="100"/>
              <w:jc w:val="center"/>
              <w:textAlignment w:val="center"/>
              <w:rPr>
                <w:rFonts w:hint="eastAsia" w:ascii="仿宋" w:hAnsi="仿宋" w:eastAsia="仿宋" w:cs="仿宋"/>
                <w:i w:val="0"/>
                <w:iCs w:val="0"/>
                <w:color w:val="000000"/>
                <w:kern w:val="0"/>
                <w:sz w:val="24"/>
                <w:szCs w:val="24"/>
                <w:u w:val="none"/>
                <w:lang w:val="en-US" w:eastAsia="zh-CN" w:bidi="ar"/>
              </w:rPr>
            </w:pPr>
          </w:p>
        </w:tc>
        <w:tc>
          <w:tcPr>
            <w:tcW w:w="1126" w:type="dxa"/>
            <w:vMerge w:val="continue"/>
            <w:tcBorders>
              <w:left w:val="single" w:color="000000" w:sz="4" w:space="0"/>
              <w:right w:val="single" w:color="000000" w:sz="4" w:space="0"/>
            </w:tcBorders>
            <w:shd w:val="clear" w:color="auto" w:fill="auto"/>
            <w:vAlign w:val="center"/>
          </w:tcPr>
          <w:p w14:paraId="75D02F35">
            <w:pPr>
              <w:keepNext w:val="0"/>
              <w:keepLines w:val="0"/>
              <w:widowControl/>
              <w:suppressLineNumbers w:val="0"/>
              <w:ind w:firstLine="240" w:firstLineChars="100"/>
              <w:jc w:val="center"/>
              <w:textAlignment w:val="center"/>
              <w:rPr>
                <w:rFonts w:hint="eastAsia" w:ascii="仿宋" w:hAnsi="仿宋" w:eastAsia="仿宋" w:cs="仿宋"/>
                <w:i w:val="0"/>
                <w:iCs w:val="0"/>
                <w:color w:val="000000"/>
                <w:kern w:val="0"/>
                <w:sz w:val="24"/>
                <w:szCs w:val="24"/>
                <w:u w:val="none"/>
                <w:lang w:val="en-US" w:eastAsia="zh-CN" w:bidi="ar"/>
              </w:rPr>
            </w:pPr>
          </w:p>
        </w:tc>
        <w:tc>
          <w:tcPr>
            <w:tcW w:w="1564" w:type="dxa"/>
            <w:vMerge w:val="continue"/>
            <w:tcBorders>
              <w:left w:val="single" w:color="000000" w:sz="4" w:space="0"/>
              <w:right w:val="single" w:color="000000" w:sz="4" w:space="0"/>
            </w:tcBorders>
            <w:shd w:val="clear" w:color="auto" w:fill="auto"/>
            <w:vAlign w:val="center"/>
          </w:tcPr>
          <w:p w14:paraId="0053D8AA">
            <w:pPr>
              <w:keepNext w:val="0"/>
              <w:keepLines w:val="0"/>
              <w:widowControl/>
              <w:suppressLineNumbers w:val="0"/>
              <w:ind w:firstLine="240" w:firstLineChars="100"/>
              <w:jc w:val="center"/>
              <w:textAlignment w:val="center"/>
              <w:rPr>
                <w:rFonts w:hint="eastAsia" w:ascii="仿宋" w:hAnsi="仿宋" w:eastAsia="仿宋" w:cs="仿宋"/>
                <w:i w:val="0"/>
                <w:iCs w:val="0"/>
                <w:color w:val="000000"/>
                <w:kern w:val="0"/>
                <w:sz w:val="24"/>
                <w:szCs w:val="24"/>
                <w:u w:val="none"/>
                <w:lang w:val="en-US" w:eastAsia="zh-CN" w:bidi="ar"/>
              </w:rPr>
            </w:pPr>
          </w:p>
        </w:tc>
        <w:tc>
          <w:tcPr>
            <w:tcW w:w="2014" w:type="dxa"/>
            <w:vMerge w:val="continue"/>
            <w:tcBorders>
              <w:left w:val="single" w:color="000000" w:sz="4" w:space="0"/>
              <w:right w:val="single" w:color="000000" w:sz="4" w:space="0"/>
            </w:tcBorders>
            <w:shd w:val="clear" w:color="auto" w:fill="auto"/>
            <w:vAlign w:val="center"/>
          </w:tcPr>
          <w:p w14:paraId="0B50D7F1">
            <w:pPr>
              <w:keepNext w:val="0"/>
              <w:keepLines w:val="0"/>
              <w:widowControl/>
              <w:suppressLineNumbers w:val="0"/>
              <w:ind w:firstLine="240" w:firstLineChars="100"/>
              <w:jc w:val="center"/>
              <w:textAlignment w:val="center"/>
              <w:rPr>
                <w:rFonts w:hint="eastAsia" w:ascii="仿宋" w:hAnsi="仿宋" w:eastAsia="仿宋" w:cs="仿宋"/>
                <w:i w:val="0"/>
                <w:iCs w:val="0"/>
                <w:color w:val="000000"/>
                <w:kern w:val="0"/>
                <w:sz w:val="24"/>
                <w:szCs w:val="24"/>
                <w:u w:val="none"/>
                <w:lang w:val="en-US" w:eastAsia="zh-CN" w:bidi="ar"/>
              </w:rPr>
            </w:pPr>
          </w:p>
        </w:tc>
        <w:tc>
          <w:tcPr>
            <w:tcW w:w="1176" w:type="dxa"/>
            <w:vMerge w:val="continue"/>
            <w:tcBorders>
              <w:left w:val="single" w:color="000000" w:sz="4" w:space="0"/>
              <w:right w:val="single" w:color="000000" w:sz="4" w:space="0"/>
            </w:tcBorders>
            <w:shd w:val="clear" w:color="auto" w:fill="auto"/>
            <w:vAlign w:val="center"/>
          </w:tcPr>
          <w:p w14:paraId="68AC80DC">
            <w:pPr>
              <w:keepNext w:val="0"/>
              <w:keepLines w:val="0"/>
              <w:widowControl/>
              <w:suppressLineNumbers w:val="0"/>
              <w:ind w:firstLine="240" w:firstLineChars="100"/>
              <w:jc w:val="center"/>
              <w:textAlignment w:val="center"/>
              <w:rPr>
                <w:rFonts w:hint="eastAsia" w:ascii="仿宋" w:hAnsi="仿宋" w:eastAsia="仿宋" w:cs="仿宋"/>
                <w:i w:val="0"/>
                <w:iCs w:val="0"/>
                <w:color w:val="000000"/>
                <w:kern w:val="0"/>
                <w:sz w:val="24"/>
                <w:szCs w:val="24"/>
                <w:u w:val="none"/>
                <w:lang w:val="en-US" w:eastAsia="zh-CN" w:bidi="ar"/>
              </w:rPr>
            </w:pPr>
          </w:p>
        </w:tc>
        <w:tc>
          <w:tcPr>
            <w:tcW w:w="2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215FA3">
            <w:pPr>
              <w:keepNext w:val="0"/>
              <w:keepLines w:val="0"/>
              <w:widowControl/>
              <w:suppressLineNumbers w:val="0"/>
              <w:ind w:left="0" w:leftChars="0" w:firstLine="0" w:firstLineChars="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挥发分(Vdaf%）:</w:t>
            </w:r>
          </w:p>
        </w:tc>
      </w:tr>
      <w:tr w14:paraId="514C03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2" w:hRule="atLeast"/>
        </w:trPr>
        <w:tc>
          <w:tcPr>
            <w:tcW w:w="1776" w:type="dxa"/>
            <w:vMerge w:val="continue"/>
            <w:tcBorders>
              <w:left w:val="single" w:color="000000" w:sz="4" w:space="0"/>
              <w:right w:val="single" w:color="000000" w:sz="4" w:space="0"/>
            </w:tcBorders>
            <w:shd w:val="clear" w:color="auto" w:fill="auto"/>
            <w:noWrap/>
            <w:vAlign w:val="center"/>
          </w:tcPr>
          <w:p w14:paraId="5F16DD3F">
            <w:pPr>
              <w:keepNext w:val="0"/>
              <w:keepLines w:val="0"/>
              <w:widowControl/>
              <w:suppressLineNumbers w:val="0"/>
              <w:ind w:firstLine="240" w:firstLineChars="100"/>
              <w:jc w:val="center"/>
              <w:textAlignment w:val="center"/>
              <w:rPr>
                <w:rFonts w:hint="eastAsia" w:ascii="仿宋" w:hAnsi="仿宋" w:eastAsia="仿宋" w:cs="仿宋"/>
                <w:i w:val="0"/>
                <w:iCs w:val="0"/>
                <w:color w:val="000000"/>
                <w:kern w:val="0"/>
                <w:sz w:val="24"/>
                <w:szCs w:val="24"/>
                <w:u w:val="none"/>
                <w:lang w:val="en-US" w:eastAsia="zh-CN" w:bidi="ar"/>
              </w:rPr>
            </w:pPr>
          </w:p>
        </w:tc>
        <w:tc>
          <w:tcPr>
            <w:tcW w:w="1126" w:type="dxa"/>
            <w:vMerge w:val="continue"/>
            <w:tcBorders>
              <w:left w:val="single" w:color="000000" w:sz="4" w:space="0"/>
              <w:right w:val="single" w:color="000000" w:sz="4" w:space="0"/>
            </w:tcBorders>
            <w:shd w:val="clear" w:color="auto" w:fill="auto"/>
            <w:vAlign w:val="center"/>
          </w:tcPr>
          <w:p w14:paraId="2E1ABC67">
            <w:pPr>
              <w:keepNext w:val="0"/>
              <w:keepLines w:val="0"/>
              <w:widowControl/>
              <w:suppressLineNumbers w:val="0"/>
              <w:ind w:firstLine="240" w:firstLineChars="100"/>
              <w:jc w:val="center"/>
              <w:textAlignment w:val="center"/>
              <w:rPr>
                <w:rFonts w:hint="eastAsia" w:ascii="仿宋" w:hAnsi="仿宋" w:eastAsia="仿宋" w:cs="仿宋"/>
                <w:i w:val="0"/>
                <w:iCs w:val="0"/>
                <w:color w:val="000000"/>
                <w:kern w:val="0"/>
                <w:sz w:val="24"/>
                <w:szCs w:val="24"/>
                <w:u w:val="none"/>
                <w:lang w:val="en-US" w:eastAsia="zh-CN" w:bidi="ar"/>
              </w:rPr>
            </w:pPr>
          </w:p>
        </w:tc>
        <w:tc>
          <w:tcPr>
            <w:tcW w:w="1564" w:type="dxa"/>
            <w:vMerge w:val="continue"/>
            <w:tcBorders>
              <w:left w:val="single" w:color="000000" w:sz="4" w:space="0"/>
              <w:right w:val="single" w:color="000000" w:sz="4" w:space="0"/>
            </w:tcBorders>
            <w:shd w:val="clear" w:color="auto" w:fill="auto"/>
            <w:vAlign w:val="center"/>
          </w:tcPr>
          <w:p w14:paraId="60EDA5B5">
            <w:pPr>
              <w:keepNext w:val="0"/>
              <w:keepLines w:val="0"/>
              <w:widowControl/>
              <w:suppressLineNumbers w:val="0"/>
              <w:ind w:firstLine="240" w:firstLineChars="100"/>
              <w:jc w:val="center"/>
              <w:textAlignment w:val="center"/>
              <w:rPr>
                <w:rFonts w:hint="eastAsia" w:ascii="仿宋" w:hAnsi="仿宋" w:eastAsia="仿宋" w:cs="仿宋"/>
                <w:i w:val="0"/>
                <w:iCs w:val="0"/>
                <w:color w:val="000000"/>
                <w:kern w:val="0"/>
                <w:sz w:val="24"/>
                <w:szCs w:val="24"/>
                <w:u w:val="none"/>
                <w:lang w:val="en-US" w:eastAsia="zh-CN" w:bidi="ar"/>
              </w:rPr>
            </w:pPr>
          </w:p>
        </w:tc>
        <w:tc>
          <w:tcPr>
            <w:tcW w:w="2014" w:type="dxa"/>
            <w:vMerge w:val="continue"/>
            <w:tcBorders>
              <w:left w:val="single" w:color="000000" w:sz="4" w:space="0"/>
              <w:right w:val="single" w:color="000000" w:sz="4" w:space="0"/>
            </w:tcBorders>
            <w:shd w:val="clear" w:color="auto" w:fill="auto"/>
            <w:vAlign w:val="center"/>
          </w:tcPr>
          <w:p w14:paraId="22908CE9">
            <w:pPr>
              <w:keepNext w:val="0"/>
              <w:keepLines w:val="0"/>
              <w:widowControl/>
              <w:suppressLineNumbers w:val="0"/>
              <w:ind w:firstLine="240" w:firstLineChars="100"/>
              <w:jc w:val="center"/>
              <w:textAlignment w:val="center"/>
              <w:rPr>
                <w:rFonts w:hint="eastAsia" w:ascii="仿宋" w:hAnsi="仿宋" w:eastAsia="仿宋" w:cs="仿宋"/>
                <w:i w:val="0"/>
                <w:iCs w:val="0"/>
                <w:color w:val="000000"/>
                <w:kern w:val="0"/>
                <w:sz w:val="24"/>
                <w:szCs w:val="24"/>
                <w:u w:val="none"/>
                <w:lang w:val="en-US" w:eastAsia="zh-CN" w:bidi="ar"/>
              </w:rPr>
            </w:pPr>
          </w:p>
        </w:tc>
        <w:tc>
          <w:tcPr>
            <w:tcW w:w="1176" w:type="dxa"/>
            <w:vMerge w:val="continue"/>
            <w:tcBorders>
              <w:left w:val="single" w:color="000000" w:sz="4" w:space="0"/>
              <w:right w:val="single" w:color="000000" w:sz="4" w:space="0"/>
            </w:tcBorders>
            <w:shd w:val="clear" w:color="auto" w:fill="auto"/>
            <w:vAlign w:val="center"/>
          </w:tcPr>
          <w:p w14:paraId="4EE4A67A">
            <w:pPr>
              <w:keepNext w:val="0"/>
              <w:keepLines w:val="0"/>
              <w:widowControl/>
              <w:suppressLineNumbers w:val="0"/>
              <w:ind w:firstLine="240" w:firstLineChars="100"/>
              <w:jc w:val="center"/>
              <w:textAlignment w:val="center"/>
              <w:rPr>
                <w:rFonts w:hint="eastAsia" w:ascii="仿宋" w:hAnsi="仿宋" w:eastAsia="仿宋" w:cs="仿宋"/>
                <w:i w:val="0"/>
                <w:iCs w:val="0"/>
                <w:color w:val="000000"/>
                <w:kern w:val="0"/>
                <w:sz w:val="24"/>
                <w:szCs w:val="24"/>
                <w:u w:val="none"/>
                <w:lang w:val="en-US" w:eastAsia="zh-CN" w:bidi="ar"/>
              </w:rPr>
            </w:pPr>
          </w:p>
        </w:tc>
        <w:tc>
          <w:tcPr>
            <w:tcW w:w="2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2D69EA">
            <w:pPr>
              <w:keepNext w:val="0"/>
              <w:keepLines w:val="0"/>
              <w:widowControl/>
              <w:suppressLineNumbers w:val="0"/>
              <w:ind w:left="0" w:leftChars="0" w:firstLine="0" w:firstLineChars="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限下率（%）：</w:t>
            </w:r>
          </w:p>
        </w:tc>
      </w:tr>
      <w:tr w14:paraId="60D875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2" w:hRule="atLeast"/>
        </w:trPr>
        <w:tc>
          <w:tcPr>
            <w:tcW w:w="1776" w:type="dxa"/>
            <w:vMerge w:val="continue"/>
            <w:tcBorders>
              <w:left w:val="single" w:color="000000" w:sz="4" w:space="0"/>
              <w:bottom w:val="single" w:color="000000" w:sz="4" w:space="0"/>
              <w:right w:val="single" w:color="000000" w:sz="4" w:space="0"/>
            </w:tcBorders>
            <w:shd w:val="clear" w:color="auto" w:fill="auto"/>
            <w:noWrap/>
            <w:vAlign w:val="center"/>
          </w:tcPr>
          <w:p w14:paraId="3BC0C12F">
            <w:pPr>
              <w:keepNext w:val="0"/>
              <w:keepLines w:val="0"/>
              <w:widowControl/>
              <w:suppressLineNumbers w:val="0"/>
              <w:ind w:firstLine="240" w:firstLineChars="100"/>
              <w:jc w:val="center"/>
              <w:textAlignment w:val="center"/>
              <w:rPr>
                <w:rFonts w:hint="eastAsia" w:ascii="仿宋" w:hAnsi="仿宋" w:eastAsia="仿宋" w:cs="仿宋"/>
                <w:i w:val="0"/>
                <w:iCs w:val="0"/>
                <w:color w:val="000000"/>
                <w:kern w:val="0"/>
                <w:sz w:val="24"/>
                <w:szCs w:val="24"/>
                <w:u w:val="none"/>
                <w:lang w:val="en-US" w:eastAsia="zh-CN" w:bidi="ar"/>
              </w:rPr>
            </w:pPr>
          </w:p>
        </w:tc>
        <w:tc>
          <w:tcPr>
            <w:tcW w:w="1126" w:type="dxa"/>
            <w:vMerge w:val="continue"/>
            <w:tcBorders>
              <w:left w:val="single" w:color="000000" w:sz="4" w:space="0"/>
              <w:bottom w:val="single" w:color="000000" w:sz="4" w:space="0"/>
              <w:right w:val="single" w:color="000000" w:sz="4" w:space="0"/>
            </w:tcBorders>
            <w:shd w:val="clear" w:color="auto" w:fill="auto"/>
            <w:vAlign w:val="center"/>
          </w:tcPr>
          <w:p w14:paraId="65C435AB">
            <w:pPr>
              <w:keepNext w:val="0"/>
              <w:keepLines w:val="0"/>
              <w:widowControl/>
              <w:suppressLineNumbers w:val="0"/>
              <w:ind w:firstLine="240" w:firstLineChars="100"/>
              <w:jc w:val="center"/>
              <w:textAlignment w:val="center"/>
              <w:rPr>
                <w:rFonts w:hint="eastAsia" w:ascii="仿宋" w:hAnsi="仿宋" w:eastAsia="仿宋" w:cs="仿宋"/>
                <w:i w:val="0"/>
                <w:iCs w:val="0"/>
                <w:color w:val="000000"/>
                <w:kern w:val="0"/>
                <w:sz w:val="24"/>
                <w:szCs w:val="24"/>
                <w:u w:val="none"/>
                <w:lang w:val="en-US" w:eastAsia="zh-CN" w:bidi="ar"/>
              </w:rPr>
            </w:pPr>
          </w:p>
        </w:tc>
        <w:tc>
          <w:tcPr>
            <w:tcW w:w="1564" w:type="dxa"/>
            <w:vMerge w:val="continue"/>
            <w:tcBorders>
              <w:left w:val="single" w:color="000000" w:sz="4" w:space="0"/>
              <w:bottom w:val="single" w:color="000000" w:sz="4" w:space="0"/>
              <w:right w:val="single" w:color="000000" w:sz="4" w:space="0"/>
            </w:tcBorders>
            <w:shd w:val="clear" w:color="auto" w:fill="auto"/>
            <w:vAlign w:val="center"/>
          </w:tcPr>
          <w:p w14:paraId="70317280">
            <w:pPr>
              <w:keepNext w:val="0"/>
              <w:keepLines w:val="0"/>
              <w:widowControl/>
              <w:suppressLineNumbers w:val="0"/>
              <w:ind w:firstLine="240" w:firstLineChars="100"/>
              <w:jc w:val="center"/>
              <w:textAlignment w:val="center"/>
              <w:rPr>
                <w:rFonts w:hint="eastAsia" w:ascii="仿宋" w:hAnsi="仿宋" w:eastAsia="仿宋" w:cs="仿宋"/>
                <w:i w:val="0"/>
                <w:iCs w:val="0"/>
                <w:color w:val="000000"/>
                <w:kern w:val="0"/>
                <w:sz w:val="24"/>
                <w:szCs w:val="24"/>
                <w:u w:val="none"/>
                <w:lang w:val="en-US" w:eastAsia="zh-CN" w:bidi="ar"/>
              </w:rPr>
            </w:pPr>
          </w:p>
        </w:tc>
        <w:tc>
          <w:tcPr>
            <w:tcW w:w="2014" w:type="dxa"/>
            <w:vMerge w:val="continue"/>
            <w:tcBorders>
              <w:left w:val="single" w:color="000000" w:sz="4" w:space="0"/>
              <w:bottom w:val="single" w:color="000000" w:sz="4" w:space="0"/>
              <w:right w:val="single" w:color="000000" w:sz="4" w:space="0"/>
            </w:tcBorders>
            <w:shd w:val="clear" w:color="auto" w:fill="auto"/>
            <w:vAlign w:val="center"/>
          </w:tcPr>
          <w:p w14:paraId="28B9711D">
            <w:pPr>
              <w:keepNext w:val="0"/>
              <w:keepLines w:val="0"/>
              <w:widowControl/>
              <w:suppressLineNumbers w:val="0"/>
              <w:ind w:firstLine="240" w:firstLineChars="100"/>
              <w:jc w:val="center"/>
              <w:textAlignment w:val="center"/>
              <w:rPr>
                <w:rFonts w:hint="eastAsia" w:ascii="仿宋" w:hAnsi="仿宋" w:eastAsia="仿宋" w:cs="仿宋"/>
                <w:i w:val="0"/>
                <w:iCs w:val="0"/>
                <w:color w:val="000000"/>
                <w:kern w:val="0"/>
                <w:sz w:val="24"/>
                <w:szCs w:val="24"/>
                <w:u w:val="none"/>
                <w:lang w:val="en-US" w:eastAsia="zh-CN" w:bidi="ar"/>
              </w:rPr>
            </w:pPr>
          </w:p>
        </w:tc>
        <w:tc>
          <w:tcPr>
            <w:tcW w:w="1176" w:type="dxa"/>
            <w:vMerge w:val="continue"/>
            <w:tcBorders>
              <w:left w:val="single" w:color="000000" w:sz="4" w:space="0"/>
              <w:bottom w:val="single" w:color="000000" w:sz="4" w:space="0"/>
              <w:right w:val="single" w:color="000000" w:sz="4" w:space="0"/>
            </w:tcBorders>
            <w:shd w:val="clear" w:color="auto" w:fill="auto"/>
            <w:vAlign w:val="center"/>
          </w:tcPr>
          <w:p w14:paraId="5D102A9A">
            <w:pPr>
              <w:keepNext w:val="0"/>
              <w:keepLines w:val="0"/>
              <w:widowControl/>
              <w:suppressLineNumbers w:val="0"/>
              <w:ind w:firstLine="240" w:firstLineChars="100"/>
              <w:jc w:val="center"/>
              <w:textAlignment w:val="center"/>
              <w:rPr>
                <w:rFonts w:hint="eastAsia" w:ascii="仿宋" w:hAnsi="仿宋" w:eastAsia="仿宋" w:cs="仿宋"/>
                <w:i w:val="0"/>
                <w:iCs w:val="0"/>
                <w:color w:val="000000"/>
                <w:kern w:val="0"/>
                <w:sz w:val="24"/>
                <w:szCs w:val="24"/>
                <w:u w:val="none"/>
                <w:lang w:val="en-US" w:eastAsia="zh-CN" w:bidi="ar"/>
              </w:rPr>
            </w:pPr>
          </w:p>
        </w:tc>
        <w:tc>
          <w:tcPr>
            <w:tcW w:w="2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CCE039">
            <w:pPr>
              <w:keepNext w:val="0"/>
              <w:keepLines w:val="0"/>
              <w:widowControl/>
              <w:suppressLineNumbers w:val="0"/>
              <w:ind w:left="0" w:leftChars="0" w:firstLine="0" w:firstLineChars="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含矸率（%）：</w:t>
            </w:r>
          </w:p>
        </w:tc>
      </w:tr>
      <w:tr w14:paraId="3133B9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2" w:hRule="atLeast"/>
        </w:trPr>
        <w:tc>
          <w:tcPr>
            <w:tcW w:w="1776" w:type="dxa"/>
            <w:vMerge w:val="restart"/>
            <w:tcBorders>
              <w:top w:val="single" w:color="000000" w:sz="4" w:space="0"/>
              <w:left w:val="single" w:color="000000" w:sz="4" w:space="0"/>
              <w:right w:val="single" w:color="000000" w:sz="4" w:space="0"/>
            </w:tcBorders>
            <w:shd w:val="clear" w:color="auto" w:fill="auto"/>
            <w:noWrap/>
            <w:vAlign w:val="center"/>
          </w:tcPr>
          <w:p w14:paraId="2BB692F9">
            <w:pPr>
              <w:keepNext w:val="0"/>
              <w:keepLines w:val="0"/>
              <w:widowControl/>
              <w:suppressLineNumbers w:val="0"/>
              <w:ind w:left="0" w:leftChars="0" w:firstLine="0" w:firstLineChars="0"/>
              <w:jc w:val="center"/>
              <w:textAlignment w:val="center"/>
              <w:rPr>
                <w:rFonts w:hint="eastAsia" w:ascii="仿宋" w:hAnsi="仿宋" w:eastAsia="仿宋" w:cs="仿宋"/>
                <w:i w:val="0"/>
                <w:iCs w:val="0"/>
                <w:color w:val="000000"/>
                <w:sz w:val="24"/>
                <w:szCs w:val="24"/>
                <w:u w:val="none"/>
              </w:rPr>
            </w:pPr>
            <w:r>
              <w:rPr>
                <w:rFonts w:hint="eastAsia" w:cs="仿宋"/>
                <w:i w:val="0"/>
                <w:iCs w:val="0"/>
                <w:color w:val="000000"/>
                <w:kern w:val="0"/>
                <w:sz w:val="24"/>
                <w:szCs w:val="24"/>
                <w:u w:val="none"/>
                <w:lang w:val="en-US" w:eastAsia="zh-CN" w:bidi="ar"/>
              </w:rPr>
              <w:t>9</w:t>
            </w:r>
            <w:r>
              <w:rPr>
                <w:rFonts w:hint="eastAsia" w:ascii="仿宋" w:hAnsi="仿宋" w:eastAsia="仿宋" w:cs="仿宋"/>
                <w:i w:val="0"/>
                <w:iCs w:val="0"/>
                <w:color w:val="000000"/>
                <w:kern w:val="0"/>
                <w:sz w:val="24"/>
                <w:szCs w:val="24"/>
                <w:u w:val="none"/>
                <w:lang w:val="en-US" w:eastAsia="zh-CN" w:bidi="ar"/>
              </w:rPr>
              <w:t>:</w:t>
            </w:r>
            <w:r>
              <w:rPr>
                <w:rFonts w:hint="eastAsia" w:cs="仿宋"/>
                <w:i w:val="0"/>
                <w:iCs w:val="0"/>
                <w:color w:val="000000"/>
                <w:kern w:val="0"/>
                <w:sz w:val="24"/>
                <w:szCs w:val="24"/>
                <w:u w:val="none"/>
                <w:lang w:val="en-US" w:eastAsia="zh-CN" w:bidi="ar"/>
              </w:rPr>
              <w:t>40</w:t>
            </w:r>
            <w:r>
              <w:rPr>
                <w:rFonts w:hint="eastAsia" w:ascii="仿宋" w:hAnsi="仿宋" w:eastAsia="仿宋" w:cs="仿宋"/>
                <w:i w:val="0"/>
                <w:iCs w:val="0"/>
                <w:color w:val="000000"/>
                <w:kern w:val="0"/>
                <w:sz w:val="24"/>
                <w:szCs w:val="24"/>
                <w:u w:val="none"/>
                <w:lang w:val="en-US" w:eastAsia="zh-CN" w:bidi="ar"/>
              </w:rPr>
              <w:t>-</w:t>
            </w:r>
            <w:r>
              <w:rPr>
                <w:rFonts w:hint="eastAsia" w:cs="仿宋"/>
                <w:i w:val="0"/>
                <w:iCs w:val="0"/>
                <w:color w:val="000000"/>
                <w:kern w:val="0"/>
                <w:sz w:val="24"/>
                <w:szCs w:val="24"/>
                <w:u w:val="none"/>
                <w:lang w:val="en-US" w:eastAsia="zh-CN" w:bidi="ar"/>
              </w:rPr>
              <w:t>10:00</w:t>
            </w:r>
          </w:p>
        </w:tc>
        <w:tc>
          <w:tcPr>
            <w:tcW w:w="1126" w:type="dxa"/>
            <w:vMerge w:val="restart"/>
            <w:tcBorders>
              <w:top w:val="single" w:color="000000" w:sz="4" w:space="0"/>
              <w:left w:val="single" w:color="000000" w:sz="4" w:space="0"/>
              <w:right w:val="single" w:color="000000" w:sz="4" w:space="0"/>
            </w:tcBorders>
            <w:shd w:val="clear" w:color="auto" w:fill="auto"/>
            <w:vAlign w:val="center"/>
          </w:tcPr>
          <w:p w14:paraId="42938F16">
            <w:pPr>
              <w:keepNext w:val="0"/>
              <w:keepLines w:val="0"/>
              <w:widowControl/>
              <w:suppressLineNumbers w:val="0"/>
              <w:ind w:left="0" w:leftChars="0"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建庄矿</w:t>
            </w:r>
          </w:p>
        </w:tc>
        <w:tc>
          <w:tcPr>
            <w:tcW w:w="1564" w:type="dxa"/>
            <w:vMerge w:val="restart"/>
            <w:tcBorders>
              <w:top w:val="single" w:color="000000" w:sz="4" w:space="0"/>
              <w:left w:val="single" w:color="000000" w:sz="4" w:space="0"/>
              <w:right w:val="single" w:color="000000" w:sz="4" w:space="0"/>
            </w:tcBorders>
            <w:shd w:val="clear" w:color="auto" w:fill="auto"/>
            <w:vAlign w:val="center"/>
          </w:tcPr>
          <w:p w14:paraId="550F7BD4">
            <w:pPr>
              <w:keepNext w:val="0"/>
              <w:keepLines w:val="0"/>
              <w:widowControl/>
              <w:suppressLineNumbers w:val="0"/>
              <w:ind w:left="0" w:leftChars="0" w:firstLine="0" w:firstLineChars="0"/>
              <w:jc w:val="center"/>
              <w:textAlignment w:val="center"/>
              <w:rPr>
                <w:rFonts w:hint="eastAsia" w:ascii="仿宋" w:hAnsi="仿宋" w:eastAsia="仿宋" w:cs="仿宋"/>
                <w:i w:val="0"/>
                <w:iCs w:val="0"/>
                <w:color w:val="000000"/>
                <w:sz w:val="24"/>
                <w:szCs w:val="24"/>
                <w:u w:val="none"/>
              </w:rPr>
            </w:pPr>
            <w:r>
              <w:rPr>
                <w:rFonts w:hint="eastAsia" w:cs="仿宋"/>
                <w:i w:val="0"/>
                <w:iCs w:val="0"/>
                <w:color w:val="000000"/>
                <w:kern w:val="0"/>
                <w:sz w:val="24"/>
                <w:szCs w:val="24"/>
                <w:u w:val="none"/>
                <w:lang w:val="en-US" w:eastAsia="zh-CN" w:bidi="ar"/>
              </w:rPr>
              <w:t>三八块煤</w:t>
            </w:r>
          </w:p>
        </w:tc>
        <w:tc>
          <w:tcPr>
            <w:tcW w:w="2014" w:type="dxa"/>
            <w:vMerge w:val="restart"/>
            <w:tcBorders>
              <w:top w:val="single" w:color="000000" w:sz="4" w:space="0"/>
              <w:left w:val="single" w:color="000000" w:sz="4" w:space="0"/>
              <w:right w:val="single" w:color="000000" w:sz="4" w:space="0"/>
            </w:tcBorders>
            <w:shd w:val="clear" w:color="auto" w:fill="auto"/>
            <w:vAlign w:val="center"/>
          </w:tcPr>
          <w:p w14:paraId="30FBB66E">
            <w:pPr>
              <w:keepNext w:val="0"/>
              <w:keepLines w:val="0"/>
              <w:widowControl/>
              <w:suppressLineNumbers w:val="0"/>
              <w:ind w:left="0" w:leftChars="0" w:firstLine="0" w:firstLineChars="0"/>
              <w:jc w:val="center"/>
              <w:textAlignment w:val="center"/>
              <w:rPr>
                <w:rFonts w:hint="eastAsia" w:ascii="仿宋" w:hAnsi="仿宋" w:eastAsia="仿宋" w:cs="仿宋"/>
                <w:i w:val="0"/>
                <w:iCs w:val="0"/>
                <w:color w:val="000000"/>
                <w:sz w:val="24"/>
                <w:szCs w:val="24"/>
                <w:u w:val="none"/>
              </w:rPr>
            </w:pPr>
            <w:r>
              <w:rPr>
                <w:rFonts w:hint="eastAsia" w:cs="仿宋"/>
                <w:i w:val="0"/>
                <w:iCs w:val="0"/>
                <w:color w:val="000000"/>
                <w:kern w:val="0"/>
                <w:sz w:val="24"/>
                <w:szCs w:val="24"/>
                <w:u w:val="none"/>
                <w:lang w:val="en-US" w:eastAsia="zh-CN" w:bidi="ar"/>
              </w:rPr>
              <w:t>12000</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w:t>
            </w:r>
            <w:r>
              <w:rPr>
                <w:rFonts w:hint="eastAsia" w:cs="仿宋"/>
                <w:i w:val="0"/>
                <w:iCs w:val="0"/>
                <w:color w:val="000000"/>
                <w:kern w:val="0"/>
                <w:sz w:val="24"/>
                <w:szCs w:val="24"/>
                <w:u w:val="none"/>
                <w:lang w:val="en-US" w:eastAsia="zh-CN" w:bidi="ar"/>
              </w:rPr>
              <w:t>2000*6</w:t>
            </w:r>
            <w:r>
              <w:rPr>
                <w:rFonts w:hint="eastAsia" w:ascii="仿宋" w:hAnsi="仿宋" w:eastAsia="仿宋" w:cs="仿宋"/>
                <w:i w:val="0"/>
                <w:iCs w:val="0"/>
                <w:color w:val="000000"/>
                <w:kern w:val="0"/>
                <w:sz w:val="24"/>
                <w:szCs w:val="24"/>
                <w:u w:val="none"/>
                <w:lang w:val="en-US" w:eastAsia="zh-CN" w:bidi="ar"/>
              </w:rPr>
              <w:t>)</w:t>
            </w:r>
          </w:p>
        </w:tc>
        <w:tc>
          <w:tcPr>
            <w:tcW w:w="1176" w:type="dxa"/>
            <w:vMerge w:val="restart"/>
            <w:tcBorders>
              <w:top w:val="single" w:color="000000" w:sz="4" w:space="0"/>
              <w:left w:val="single" w:color="000000" w:sz="4" w:space="0"/>
              <w:right w:val="single" w:color="000000" w:sz="4" w:space="0"/>
            </w:tcBorders>
            <w:shd w:val="clear" w:color="auto" w:fill="auto"/>
            <w:vAlign w:val="center"/>
          </w:tcPr>
          <w:p w14:paraId="450D6E4D">
            <w:pPr>
              <w:keepNext w:val="0"/>
              <w:keepLines w:val="0"/>
              <w:widowControl/>
              <w:suppressLineNumbers w:val="0"/>
              <w:ind w:left="0" w:leftChars="0" w:firstLine="0" w:firstLineChars="0"/>
              <w:jc w:val="center"/>
              <w:textAlignment w:val="center"/>
              <w:rPr>
                <w:rFonts w:hint="default" w:ascii="仿宋" w:hAnsi="仿宋" w:eastAsia="仿宋" w:cs="仿宋"/>
                <w:i w:val="0"/>
                <w:iCs w:val="0"/>
                <w:color w:val="000000"/>
                <w:sz w:val="24"/>
                <w:szCs w:val="24"/>
                <w:u w:val="none"/>
                <w:lang w:val="en-US"/>
              </w:rPr>
            </w:pPr>
            <w:r>
              <w:rPr>
                <w:rFonts w:hint="eastAsia" w:cs="仿宋"/>
                <w:i w:val="0"/>
                <w:iCs w:val="0"/>
                <w:color w:val="000000"/>
                <w:kern w:val="0"/>
                <w:sz w:val="24"/>
                <w:szCs w:val="24"/>
                <w:u w:val="none"/>
                <w:lang w:val="en-US" w:eastAsia="zh-CN" w:bidi="ar"/>
              </w:rPr>
              <w:t>670</w:t>
            </w:r>
          </w:p>
        </w:tc>
        <w:tc>
          <w:tcPr>
            <w:tcW w:w="2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1E4C02">
            <w:pPr>
              <w:keepNext w:val="0"/>
              <w:keepLines w:val="0"/>
              <w:widowControl/>
              <w:suppressLineNumbers w:val="0"/>
              <w:ind w:left="0" w:leftChars="0" w:firstLine="0" w:firstLineChars="0"/>
              <w:jc w:val="left"/>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4"/>
                <w:szCs w:val="24"/>
                <w:u w:val="none"/>
                <w:lang w:val="en-US" w:eastAsia="zh-CN" w:bidi="ar"/>
              </w:rPr>
              <w:t>发热量(Qnet,ar)大卡：</w:t>
            </w:r>
            <w:r>
              <w:rPr>
                <w:rFonts w:hint="eastAsia" w:cs="仿宋"/>
                <w:i w:val="0"/>
                <w:iCs w:val="0"/>
                <w:color w:val="000000"/>
                <w:kern w:val="0"/>
                <w:sz w:val="24"/>
                <w:szCs w:val="24"/>
                <w:u w:val="none"/>
                <w:lang w:val="en-US" w:eastAsia="zh-CN" w:bidi="ar"/>
              </w:rPr>
              <w:t>580</w:t>
            </w:r>
            <w:r>
              <w:rPr>
                <w:rFonts w:hint="eastAsia" w:ascii="仿宋" w:hAnsi="仿宋" w:eastAsia="仿宋" w:cs="仿宋"/>
                <w:i w:val="0"/>
                <w:iCs w:val="0"/>
                <w:color w:val="000000"/>
                <w:kern w:val="0"/>
                <w:sz w:val="24"/>
                <w:szCs w:val="24"/>
                <w:u w:val="none"/>
                <w:lang w:val="en-US" w:eastAsia="zh-CN" w:bidi="ar"/>
              </w:rPr>
              <w:t>0-</w:t>
            </w:r>
            <w:r>
              <w:rPr>
                <w:rFonts w:hint="eastAsia" w:cs="仿宋"/>
                <w:i w:val="0"/>
                <w:iCs w:val="0"/>
                <w:color w:val="000000"/>
                <w:kern w:val="0"/>
                <w:sz w:val="24"/>
                <w:szCs w:val="24"/>
                <w:u w:val="none"/>
                <w:lang w:val="en-US" w:eastAsia="zh-CN" w:bidi="ar"/>
              </w:rPr>
              <w:t>60</w:t>
            </w:r>
            <w:r>
              <w:rPr>
                <w:rFonts w:hint="eastAsia" w:ascii="仿宋" w:hAnsi="仿宋" w:eastAsia="仿宋" w:cs="仿宋"/>
                <w:i w:val="0"/>
                <w:iCs w:val="0"/>
                <w:color w:val="000000"/>
                <w:kern w:val="0"/>
                <w:sz w:val="24"/>
                <w:szCs w:val="24"/>
                <w:u w:val="none"/>
                <w:lang w:val="en-US" w:eastAsia="zh-CN" w:bidi="ar"/>
              </w:rPr>
              <w:t>00</w:t>
            </w:r>
          </w:p>
        </w:tc>
      </w:tr>
      <w:tr w14:paraId="52FF5C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2" w:hRule="atLeast"/>
        </w:trPr>
        <w:tc>
          <w:tcPr>
            <w:tcW w:w="1776" w:type="dxa"/>
            <w:vMerge w:val="continue"/>
            <w:tcBorders>
              <w:left w:val="single" w:color="000000" w:sz="4" w:space="0"/>
              <w:right w:val="single" w:color="000000" w:sz="4" w:space="0"/>
            </w:tcBorders>
            <w:shd w:val="clear" w:color="auto" w:fill="auto"/>
            <w:noWrap/>
            <w:vAlign w:val="center"/>
          </w:tcPr>
          <w:p w14:paraId="3A8F905E">
            <w:pPr>
              <w:keepNext w:val="0"/>
              <w:keepLines w:val="0"/>
              <w:widowControl/>
              <w:suppressLineNumbers w:val="0"/>
              <w:ind w:left="0" w:leftChars="0" w:firstLine="0" w:firstLineChars="0"/>
              <w:jc w:val="left"/>
              <w:textAlignment w:val="center"/>
            </w:pPr>
          </w:p>
        </w:tc>
        <w:tc>
          <w:tcPr>
            <w:tcW w:w="1126" w:type="dxa"/>
            <w:vMerge w:val="continue"/>
            <w:tcBorders>
              <w:left w:val="single" w:color="000000" w:sz="4" w:space="0"/>
              <w:right w:val="single" w:color="000000" w:sz="4" w:space="0"/>
            </w:tcBorders>
            <w:shd w:val="clear" w:color="auto" w:fill="auto"/>
            <w:vAlign w:val="center"/>
          </w:tcPr>
          <w:p w14:paraId="7BC723F5">
            <w:pPr>
              <w:keepNext w:val="0"/>
              <w:keepLines w:val="0"/>
              <w:widowControl/>
              <w:suppressLineNumbers w:val="0"/>
              <w:ind w:left="0" w:leftChars="0" w:firstLine="0" w:firstLineChars="0"/>
              <w:jc w:val="left"/>
              <w:textAlignment w:val="center"/>
            </w:pPr>
          </w:p>
        </w:tc>
        <w:tc>
          <w:tcPr>
            <w:tcW w:w="1564" w:type="dxa"/>
            <w:vMerge w:val="continue"/>
            <w:tcBorders>
              <w:left w:val="single" w:color="000000" w:sz="4" w:space="0"/>
              <w:right w:val="single" w:color="000000" w:sz="4" w:space="0"/>
            </w:tcBorders>
            <w:shd w:val="clear" w:color="auto" w:fill="auto"/>
            <w:vAlign w:val="center"/>
          </w:tcPr>
          <w:p w14:paraId="3152F831">
            <w:pPr>
              <w:keepNext w:val="0"/>
              <w:keepLines w:val="0"/>
              <w:widowControl/>
              <w:suppressLineNumbers w:val="0"/>
              <w:ind w:left="0" w:leftChars="0" w:firstLine="0" w:firstLineChars="0"/>
              <w:jc w:val="left"/>
              <w:textAlignment w:val="center"/>
            </w:pPr>
          </w:p>
        </w:tc>
        <w:tc>
          <w:tcPr>
            <w:tcW w:w="2014" w:type="dxa"/>
            <w:vMerge w:val="continue"/>
            <w:tcBorders>
              <w:left w:val="single" w:color="000000" w:sz="4" w:space="0"/>
              <w:right w:val="single" w:color="000000" w:sz="4" w:space="0"/>
            </w:tcBorders>
            <w:shd w:val="clear" w:color="auto" w:fill="auto"/>
            <w:vAlign w:val="center"/>
          </w:tcPr>
          <w:p w14:paraId="10DD2A9B">
            <w:pPr>
              <w:keepNext w:val="0"/>
              <w:keepLines w:val="0"/>
              <w:widowControl/>
              <w:suppressLineNumbers w:val="0"/>
              <w:ind w:left="0" w:leftChars="0" w:firstLine="0" w:firstLineChars="0"/>
              <w:jc w:val="left"/>
              <w:textAlignment w:val="center"/>
            </w:pPr>
          </w:p>
        </w:tc>
        <w:tc>
          <w:tcPr>
            <w:tcW w:w="1176" w:type="dxa"/>
            <w:vMerge w:val="continue"/>
            <w:tcBorders>
              <w:left w:val="single" w:color="000000" w:sz="4" w:space="0"/>
              <w:right w:val="single" w:color="000000" w:sz="4" w:space="0"/>
            </w:tcBorders>
            <w:shd w:val="clear" w:color="auto" w:fill="auto"/>
            <w:vAlign w:val="center"/>
          </w:tcPr>
          <w:p w14:paraId="6AEF2ED9">
            <w:pPr>
              <w:keepNext w:val="0"/>
              <w:keepLines w:val="0"/>
              <w:widowControl/>
              <w:suppressLineNumbers w:val="0"/>
              <w:ind w:left="0" w:leftChars="0" w:firstLine="0" w:firstLineChars="0"/>
              <w:jc w:val="left"/>
              <w:textAlignment w:val="center"/>
            </w:pPr>
          </w:p>
        </w:tc>
        <w:tc>
          <w:tcPr>
            <w:tcW w:w="2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FE14DF">
            <w:pPr>
              <w:keepNext w:val="0"/>
              <w:keepLines w:val="0"/>
              <w:widowControl/>
              <w:suppressLineNumbers w:val="0"/>
              <w:ind w:left="0" w:leftChars="0" w:firstLine="0" w:firstLineChars="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灰分（Ad%)：≤30%</w:t>
            </w:r>
          </w:p>
        </w:tc>
      </w:tr>
      <w:tr w14:paraId="004FE1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2" w:hRule="atLeast"/>
        </w:trPr>
        <w:tc>
          <w:tcPr>
            <w:tcW w:w="1776" w:type="dxa"/>
            <w:vMerge w:val="continue"/>
            <w:tcBorders>
              <w:left w:val="single" w:color="000000" w:sz="4" w:space="0"/>
              <w:right w:val="single" w:color="000000" w:sz="4" w:space="0"/>
            </w:tcBorders>
            <w:shd w:val="clear" w:color="auto" w:fill="auto"/>
            <w:noWrap/>
            <w:vAlign w:val="center"/>
          </w:tcPr>
          <w:p w14:paraId="7DE9DFBD">
            <w:pPr>
              <w:keepNext w:val="0"/>
              <w:keepLines w:val="0"/>
              <w:widowControl/>
              <w:suppressLineNumbers w:val="0"/>
              <w:ind w:left="0" w:leftChars="0" w:firstLine="0" w:firstLineChars="0"/>
              <w:jc w:val="left"/>
              <w:textAlignment w:val="center"/>
              <w:rPr>
                <w:rFonts w:hint="eastAsia" w:ascii="仿宋" w:hAnsi="仿宋" w:eastAsia="仿宋" w:cs="仿宋"/>
                <w:i w:val="0"/>
                <w:iCs w:val="0"/>
                <w:color w:val="000000"/>
                <w:kern w:val="0"/>
                <w:sz w:val="24"/>
                <w:szCs w:val="24"/>
                <w:u w:val="none"/>
                <w:lang w:val="en-US" w:eastAsia="zh-CN" w:bidi="ar"/>
              </w:rPr>
            </w:pPr>
          </w:p>
        </w:tc>
        <w:tc>
          <w:tcPr>
            <w:tcW w:w="1126" w:type="dxa"/>
            <w:vMerge w:val="continue"/>
            <w:tcBorders>
              <w:left w:val="single" w:color="000000" w:sz="4" w:space="0"/>
              <w:right w:val="single" w:color="000000" w:sz="4" w:space="0"/>
            </w:tcBorders>
            <w:shd w:val="clear" w:color="auto" w:fill="auto"/>
            <w:vAlign w:val="center"/>
          </w:tcPr>
          <w:p w14:paraId="48E9B2C2">
            <w:pPr>
              <w:keepNext w:val="0"/>
              <w:keepLines w:val="0"/>
              <w:widowControl/>
              <w:suppressLineNumbers w:val="0"/>
              <w:ind w:left="0" w:leftChars="0" w:firstLine="0" w:firstLineChars="0"/>
              <w:jc w:val="left"/>
              <w:textAlignment w:val="center"/>
              <w:rPr>
                <w:rFonts w:hint="eastAsia" w:ascii="仿宋" w:hAnsi="仿宋" w:eastAsia="仿宋" w:cs="仿宋"/>
                <w:i w:val="0"/>
                <w:iCs w:val="0"/>
                <w:color w:val="000000"/>
                <w:kern w:val="0"/>
                <w:sz w:val="24"/>
                <w:szCs w:val="24"/>
                <w:u w:val="none"/>
                <w:lang w:val="en-US" w:eastAsia="zh-CN" w:bidi="ar"/>
              </w:rPr>
            </w:pPr>
          </w:p>
        </w:tc>
        <w:tc>
          <w:tcPr>
            <w:tcW w:w="1564" w:type="dxa"/>
            <w:vMerge w:val="continue"/>
            <w:tcBorders>
              <w:left w:val="single" w:color="000000" w:sz="4" w:space="0"/>
              <w:right w:val="single" w:color="000000" w:sz="4" w:space="0"/>
            </w:tcBorders>
            <w:shd w:val="clear" w:color="auto" w:fill="auto"/>
            <w:vAlign w:val="center"/>
          </w:tcPr>
          <w:p w14:paraId="54EEC1FB">
            <w:pPr>
              <w:keepNext w:val="0"/>
              <w:keepLines w:val="0"/>
              <w:widowControl/>
              <w:suppressLineNumbers w:val="0"/>
              <w:ind w:left="0" w:leftChars="0" w:firstLine="0" w:firstLineChars="0"/>
              <w:jc w:val="left"/>
              <w:textAlignment w:val="center"/>
              <w:rPr>
                <w:rFonts w:hint="eastAsia" w:ascii="仿宋" w:hAnsi="仿宋" w:eastAsia="仿宋" w:cs="仿宋"/>
                <w:i w:val="0"/>
                <w:iCs w:val="0"/>
                <w:color w:val="000000"/>
                <w:kern w:val="0"/>
                <w:sz w:val="24"/>
                <w:szCs w:val="24"/>
                <w:u w:val="none"/>
                <w:lang w:val="en-US" w:eastAsia="zh-CN" w:bidi="ar"/>
              </w:rPr>
            </w:pPr>
          </w:p>
        </w:tc>
        <w:tc>
          <w:tcPr>
            <w:tcW w:w="2014" w:type="dxa"/>
            <w:vMerge w:val="continue"/>
            <w:tcBorders>
              <w:left w:val="single" w:color="000000" w:sz="4" w:space="0"/>
              <w:right w:val="single" w:color="000000" w:sz="4" w:space="0"/>
            </w:tcBorders>
            <w:shd w:val="clear" w:color="auto" w:fill="auto"/>
            <w:vAlign w:val="center"/>
          </w:tcPr>
          <w:p w14:paraId="357840B6">
            <w:pPr>
              <w:keepNext w:val="0"/>
              <w:keepLines w:val="0"/>
              <w:widowControl/>
              <w:suppressLineNumbers w:val="0"/>
              <w:ind w:left="0" w:leftChars="0" w:firstLine="0" w:firstLineChars="0"/>
              <w:jc w:val="left"/>
              <w:textAlignment w:val="center"/>
              <w:rPr>
                <w:rFonts w:hint="eastAsia" w:ascii="仿宋" w:hAnsi="仿宋" w:eastAsia="仿宋" w:cs="仿宋"/>
                <w:i w:val="0"/>
                <w:iCs w:val="0"/>
                <w:color w:val="000000"/>
                <w:kern w:val="0"/>
                <w:sz w:val="24"/>
                <w:szCs w:val="24"/>
                <w:u w:val="none"/>
                <w:lang w:val="en-US" w:eastAsia="zh-CN" w:bidi="ar"/>
              </w:rPr>
            </w:pPr>
          </w:p>
        </w:tc>
        <w:tc>
          <w:tcPr>
            <w:tcW w:w="1176" w:type="dxa"/>
            <w:vMerge w:val="continue"/>
            <w:tcBorders>
              <w:left w:val="single" w:color="000000" w:sz="4" w:space="0"/>
              <w:right w:val="single" w:color="000000" w:sz="4" w:space="0"/>
            </w:tcBorders>
            <w:shd w:val="clear" w:color="auto" w:fill="auto"/>
            <w:vAlign w:val="center"/>
          </w:tcPr>
          <w:p w14:paraId="6D253905">
            <w:pPr>
              <w:keepNext w:val="0"/>
              <w:keepLines w:val="0"/>
              <w:widowControl/>
              <w:suppressLineNumbers w:val="0"/>
              <w:ind w:left="0" w:leftChars="0" w:firstLine="0" w:firstLineChars="0"/>
              <w:jc w:val="left"/>
              <w:textAlignment w:val="center"/>
              <w:rPr>
                <w:rFonts w:hint="eastAsia" w:ascii="仿宋" w:hAnsi="仿宋" w:eastAsia="仿宋" w:cs="仿宋"/>
                <w:i w:val="0"/>
                <w:iCs w:val="0"/>
                <w:color w:val="000000"/>
                <w:kern w:val="0"/>
                <w:sz w:val="24"/>
                <w:szCs w:val="24"/>
                <w:u w:val="none"/>
                <w:lang w:val="en-US" w:eastAsia="zh-CN" w:bidi="ar"/>
              </w:rPr>
            </w:pPr>
          </w:p>
        </w:tc>
        <w:tc>
          <w:tcPr>
            <w:tcW w:w="2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D6DF4">
            <w:pPr>
              <w:keepNext w:val="0"/>
              <w:keepLines w:val="0"/>
              <w:widowControl/>
              <w:suppressLineNumbers w:val="0"/>
              <w:ind w:left="0" w:leftChars="0" w:firstLine="0" w:firstLineChars="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硫分(St,d%)：≤1%</w:t>
            </w:r>
          </w:p>
        </w:tc>
      </w:tr>
      <w:tr w14:paraId="44AEE6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2" w:hRule="atLeast"/>
        </w:trPr>
        <w:tc>
          <w:tcPr>
            <w:tcW w:w="1776" w:type="dxa"/>
            <w:vMerge w:val="continue"/>
            <w:tcBorders>
              <w:left w:val="single" w:color="000000" w:sz="4" w:space="0"/>
              <w:right w:val="single" w:color="000000" w:sz="4" w:space="0"/>
            </w:tcBorders>
            <w:shd w:val="clear" w:color="auto" w:fill="auto"/>
            <w:noWrap/>
            <w:vAlign w:val="center"/>
          </w:tcPr>
          <w:p w14:paraId="44AB44B4">
            <w:pPr>
              <w:keepNext w:val="0"/>
              <w:keepLines w:val="0"/>
              <w:widowControl/>
              <w:suppressLineNumbers w:val="0"/>
              <w:ind w:left="0" w:leftChars="0" w:firstLine="0" w:firstLineChars="0"/>
              <w:jc w:val="left"/>
              <w:textAlignment w:val="center"/>
              <w:rPr>
                <w:rFonts w:hint="eastAsia" w:ascii="仿宋" w:hAnsi="仿宋" w:eastAsia="仿宋" w:cs="仿宋"/>
                <w:i w:val="0"/>
                <w:iCs w:val="0"/>
                <w:color w:val="000000"/>
                <w:kern w:val="0"/>
                <w:sz w:val="24"/>
                <w:szCs w:val="24"/>
                <w:u w:val="none"/>
                <w:lang w:val="en-US" w:eastAsia="zh-CN" w:bidi="ar"/>
              </w:rPr>
            </w:pPr>
          </w:p>
        </w:tc>
        <w:tc>
          <w:tcPr>
            <w:tcW w:w="1126" w:type="dxa"/>
            <w:vMerge w:val="continue"/>
            <w:tcBorders>
              <w:left w:val="single" w:color="000000" w:sz="4" w:space="0"/>
              <w:right w:val="single" w:color="000000" w:sz="4" w:space="0"/>
            </w:tcBorders>
            <w:shd w:val="clear" w:color="auto" w:fill="auto"/>
            <w:vAlign w:val="center"/>
          </w:tcPr>
          <w:p w14:paraId="03014414">
            <w:pPr>
              <w:keepNext w:val="0"/>
              <w:keepLines w:val="0"/>
              <w:widowControl/>
              <w:suppressLineNumbers w:val="0"/>
              <w:ind w:left="0" w:leftChars="0" w:firstLine="0" w:firstLineChars="0"/>
              <w:jc w:val="left"/>
              <w:textAlignment w:val="center"/>
              <w:rPr>
                <w:rFonts w:hint="eastAsia" w:ascii="仿宋" w:hAnsi="仿宋" w:eastAsia="仿宋" w:cs="仿宋"/>
                <w:i w:val="0"/>
                <w:iCs w:val="0"/>
                <w:color w:val="000000"/>
                <w:kern w:val="0"/>
                <w:sz w:val="24"/>
                <w:szCs w:val="24"/>
                <w:u w:val="none"/>
                <w:lang w:val="en-US" w:eastAsia="zh-CN" w:bidi="ar"/>
              </w:rPr>
            </w:pPr>
          </w:p>
        </w:tc>
        <w:tc>
          <w:tcPr>
            <w:tcW w:w="1564" w:type="dxa"/>
            <w:vMerge w:val="continue"/>
            <w:tcBorders>
              <w:left w:val="single" w:color="000000" w:sz="4" w:space="0"/>
              <w:right w:val="single" w:color="000000" w:sz="4" w:space="0"/>
            </w:tcBorders>
            <w:shd w:val="clear" w:color="auto" w:fill="auto"/>
            <w:vAlign w:val="center"/>
          </w:tcPr>
          <w:p w14:paraId="1F9D4EBD">
            <w:pPr>
              <w:keepNext w:val="0"/>
              <w:keepLines w:val="0"/>
              <w:widowControl/>
              <w:suppressLineNumbers w:val="0"/>
              <w:ind w:left="0" w:leftChars="0" w:firstLine="0" w:firstLineChars="0"/>
              <w:jc w:val="left"/>
              <w:textAlignment w:val="center"/>
              <w:rPr>
                <w:rFonts w:hint="eastAsia" w:ascii="仿宋" w:hAnsi="仿宋" w:eastAsia="仿宋" w:cs="仿宋"/>
                <w:i w:val="0"/>
                <w:iCs w:val="0"/>
                <w:color w:val="000000"/>
                <w:kern w:val="0"/>
                <w:sz w:val="24"/>
                <w:szCs w:val="24"/>
                <w:u w:val="none"/>
                <w:lang w:val="en-US" w:eastAsia="zh-CN" w:bidi="ar"/>
              </w:rPr>
            </w:pPr>
          </w:p>
        </w:tc>
        <w:tc>
          <w:tcPr>
            <w:tcW w:w="2014" w:type="dxa"/>
            <w:vMerge w:val="continue"/>
            <w:tcBorders>
              <w:left w:val="single" w:color="000000" w:sz="4" w:space="0"/>
              <w:right w:val="single" w:color="000000" w:sz="4" w:space="0"/>
            </w:tcBorders>
            <w:shd w:val="clear" w:color="auto" w:fill="auto"/>
            <w:vAlign w:val="center"/>
          </w:tcPr>
          <w:p w14:paraId="48233591">
            <w:pPr>
              <w:keepNext w:val="0"/>
              <w:keepLines w:val="0"/>
              <w:widowControl/>
              <w:suppressLineNumbers w:val="0"/>
              <w:ind w:left="0" w:leftChars="0" w:firstLine="0" w:firstLineChars="0"/>
              <w:jc w:val="left"/>
              <w:textAlignment w:val="center"/>
              <w:rPr>
                <w:rFonts w:hint="eastAsia" w:ascii="仿宋" w:hAnsi="仿宋" w:eastAsia="仿宋" w:cs="仿宋"/>
                <w:i w:val="0"/>
                <w:iCs w:val="0"/>
                <w:color w:val="000000"/>
                <w:kern w:val="0"/>
                <w:sz w:val="24"/>
                <w:szCs w:val="24"/>
                <w:u w:val="none"/>
                <w:lang w:val="en-US" w:eastAsia="zh-CN" w:bidi="ar"/>
              </w:rPr>
            </w:pPr>
          </w:p>
        </w:tc>
        <w:tc>
          <w:tcPr>
            <w:tcW w:w="1176" w:type="dxa"/>
            <w:vMerge w:val="continue"/>
            <w:tcBorders>
              <w:left w:val="single" w:color="000000" w:sz="4" w:space="0"/>
              <w:right w:val="single" w:color="000000" w:sz="4" w:space="0"/>
            </w:tcBorders>
            <w:shd w:val="clear" w:color="auto" w:fill="auto"/>
            <w:vAlign w:val="center"/>
          </w:tcPr>
          <w:p w14:paraId="12E216CA">
            <w:pPr>
              <w:keepNext w:val="0"/>
              <w:keepLines w:val="0"/>
              <w:widowControl/>
              <w:suppressLineNumbers w:val="0"/>
              <w:ind w:left="0" w:leftChars="0" w:firstLine="0" w:firstLineChars="0"/>
              <w:jc w:val="left"/>
              <w:textAlignment w:val="center"/>
              <w:rPr>
                <w:rFonts w:hint="eastAsia" w:ascii="仿宋" w:hAnsi="仿宋" w:eastAsia="仿宋" w:cs="仿宋"/>
                <w:i w:val="0"/>
                <w:iCs w:val="0"/>
                <w:color w:val="000000"/>
                <w:kern w:val="0"/>
                <w:sz w:val="24"/>
                <w:szCs w:val="24"/>
                <w:u w:val="none"/>
                <w:lang w:val="en-US" w:eastAsia="zh-CN" w:bidi="ar"/>
              </w:rPr>
            </w:pPr>
          </w:p>
        </w:tc>
        <w:tc>
          <w:tcPr>
            <w:tcW w:w="2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B12B79">
            <w:pPr>
              <w:keepNext w:val="0"/>
              <w:keepLines w:val="0"/>
              <w:widowControl/>
              <w:suppressLineNumbers w:val="0"/>
              <w:ind w:left="0" w:leftChars="0" w:firstLine="0" w:firstLineChars="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水分(Mt%)：≤10%</w:t>
            </w:r>
          </w:p>
        </w:tc>
      </w:tr>
      <w:tr w14:paraId="65F704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2" w:hRule="atLeast"/>
        </w:trPr>
        <w:tc>
          <w:tcPr>
            <w:tcW w:w="1776" w:type="dxa"/>
            <w:vMerge w:val="continue"/>
            <w:tcBorders>
              <w:left w:val="single" w:color="000000" w:sz="4" w:space="0"/>
              <w:right w:val="single" w:color="000000" w:sz="4" w:space="0"/>
            </w:tcBorders>
            <w:shd w:val="clear" w:color="auto" w:fill="auto"/>
            <w:noWrap/>
            <w:vAlign w:val="center"/>
          </w:tcPr>
          <w:p w14:paraId="43FC45DB">
            <w:pPr>
              <w:keepNext w:val="0"/>
              <w:keepLines w:val="0"/>
              <w:widowControl/>
              <w:suppressLineNumbers w:val="0"/>
              <w:ind w:left="0" w:leftChars="0" w:firstLine="0" w:firstLineChars="0"/>
              <w:jc w:val="left"/>
              <w:textAlignment w:val="center"/>
              <w:rPr>
                <w:rFonts w:hint="eastAsia" w:ascii="仿宋" w:hAnsi="仿宋" w:eastAsia="仿宋" w:cs="仿宋"/>
                <w:i w:val="0"/>
                <w:iCs w:val="0"/>
                <w:color w:val="000000"/>
                <w:kern w:val="0"/>
                <w:sz w:val="24"/>
                <w:szCs w:val="24"/>
                <w:u w:val="none"/>
                <w:lang w:val="en-US" w:eastAsia="zh-CN" w:bidi="ar"/>
              </w:rPr>
            </w:pPr>
          </w:p>
        </w:tc>
        <w:tc>
          <w:tcPr>
            <w:tcW w:w="1126" w:type="dxa"/>
            <w:vMerge w:val="continue"/>
            <w:tcBorders>
              <w:left w:val="single" w:color="000000" w:sz="4" w:space="0"/>
              <w:right w:val="single" w:color="000000" w:sz="4" w:space="0"/>
            </w:tcBorders>
            <w:shd w:val="clear" w:color="auto" w:fill="auto"/>
            <w:vAlign w:val="center"/>
          </w:tcPr>
          <w:p w14:paraId="4EDF017A">
            <w:pPr>
              <w:keepNext w:val="0"/>
              <w:keepLines w:val="0"/>
              <w:widowControl/>
              <w:suppressLineNumbers w:val="0"/>
              <w:ind w:left="0" w:leftChars="0" w:firstLine="0" w:firstLineChars="0"/>
              <w:jc w:val="left"/>
              <w:textAlignment w:val="center"/>
              <w:rPr>
                <w:rFonts w:hint="eastAsia" w:ascii="仿宋" w:hAnsi="仿宋" w:eastAsia="仿宋" w:cs="仿宋"/>
                <w:i w:val="0"/>
                <w:iCs w:val="0"/>
                <w:color w:val="000000"/>
                <w:kern w:val="0"/>
                <w:sz w:val="24"/>
                <w:szCs w:val="24"/>
                <w:u w:val="none"/>
                <w:lang w:val="en-US" w:eastAsia="zh-CN" w:bidi="ar"/>
              </w:rPr>
            </w:pPr>
          </w:p>
        </w:tc>
        <w:tc>
          <w:tcPr>
            <w:tcW w:w="1564" w:type="dxa"/>
            <w:vMerge w:val="continue"/>
            <w:tcBorders>
              <w:left w:val="single" w:color="000000" w:sz="4" w:space="0"/>
              <w:right w:val="single" w:color="000000" w:sz="4" w:space="0"/>
            </w:tcBorders>
            <w:shd w:val="clear" w:color="auto" w:fill="auto"/>
            <w:vAlign w:val="center"/>
          </w:tcPr>
          <w:p w14:paraId="56CE9FAF">
            <w:pPr>
              <w:keepNext w:val="0"/>
              <w:keepLines w:val="0"/>
              <w:widowControl/>
              <w:suppressLineNumbers w:val="0"/>
              <w:ind w:left="0" w:leftChars="0" w:firstLine="0" w:firstLineChars="0"/>
              <w:jc w:val="left"/>
              <w:textAlignment w:val="center"/>
              <w:rPr>
                <w:rFonts w:hint="eastAsia" w:ascii="仿宋" w:hAnsi="仿宋" w:eastAsia="仿宋" w:cs="仿宋"/>
                <w:i w:val="0"/>
                <w:iCs w:val="0"/>
                <w:color w:val="000000"/>
                <w:kern w:val="0"/>
                <w:sz w:val="24"/>
                <w:szCs w:val="24"/>
                <w:u w:val="none"/>
                <w:lang w:val="en-US" w:eastAsia="zh-CN" w:bidi="ar"/>
              </w:rPr>
            </w:pPr>
          </w:p>
        </w:tc>
        <w:tc>
          <w:tcPr>
            <w:tcW w:w="2014" w:type="dxa"/>
            <w:vMerge w:val="continue"/>
            <w:tcBorders>
              <w:left w:val="single" w:color="000000" w:sz="4" w:space="0"/>
              <w:right w:val="single" w:color="000000" w:sz="4" w:space="0"/>
            </w:tcBorders>
            <w:shd w:val="clear" w:color="auto" w:fill="auto"/>
            <w:vAlign w:val="center"/>
          </w:tcPr>
          <w:p w14:paraId="423789C2">
            <w:pPr>
              <w:keepNext w:val="0"/>
              <w:keepLines w:val="0"/>
              <w:widowControl/>
              <w:suppressLineNumbers w:val="0"/>
              <w:ind w:left="0" w:leftChars="0" w:firstLine="0" w:firstLineChars="0"/>
              <w:jc w:val="left"/>
              <w:textAlignment w:val="center"/>
              <w:rPr>
                <w:rFonts w:hint="eastAsia" w:ascii="仿宋" w:hAnsi="仿宋" w:eastAsia="仿宋" w:cs="仿宋"/>
                <w:i w:val="0"/>
                <w:iCs w:val="0"/>
                <w:color w:val="000000"/>
                <w:kern w:val="0"/>
                <w:sz w:val="24"/>
                <w:szCs w:val="24"/>
                <w:u w:val="none"/>
                <w:lang w:val="en-US" w:eastAsia="zh-CN" w:bidi="ar"/>
              </w:rPr>
            </w:pPr>
          </w:p>
        </w:tc>
        <w:tc>
          <w:tcPr>
            <w:tcW w:w="1176" w:type="dxa"/>
            <w:vMerge w:val="continue"/>
            <w:tcBorders>
              <w:left w:val="single" w:color="000000" w:sz="4" w:space="0"/>
              <w:right w:val="single" w:color="000000" w:sz="4" w:space="0"/>
            </w:tcBorders>
            <w:shd w:val="clear" w:color="auto" w:fill="auto"/>
            <w:vAlign w:val="center"/>
          </w:tcPr>
          <w:p w14:paraId="39E00B96">
            <w:pPr>
              <w:keepNext w:val="0"/>
              <w:keepLines w:val="0"/>
              <w:widowControl/>
              <w:suppressLineNumbers w:val="0"/>
              <w:ind w:left="0" w:leftChars="0" w:firstLine="0" w:firstLineChars="0"/>
              <w:jc w:val="left"/>
              <w:textAlignment w:val="center"/>
              <w:rPr>
                <w:rFonts w:hint="eastAsia" w:ascii="仿宋" w:hAnsi="仿宋" w:eastAsia="仿宋" w:cs="仿宋"/>
                <w:i w:val="0"/>
                <w:iCs w:val="0"/>
                <w:color w:val="000000"/>
                <w:kern w:val="0"/>
                <w:sz w:val="24"/>
                <w:szCs w:val="24"/>
                <w:u w:val="none"/>
                <w:lang w:val="en-US" w:eastAsia="zh-CN" w:bidi="ar"/>
              </w:rPr>
            </w:pPr>
          </w:p>
        </w:tc>
        <w:tc>
          <w:tcPr>
            <w:tcW w:w="2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AA5E25">
            <w:pPr>
              <w:keepNext w:val="0"/>
              <w:keepLines w:val="0"/>
              <w:widowControl/>
              <w:suppressLineNumbers w:val="0"/>
              <w:ind w:left="0" w:leftChars="0" w:firstLine="0" w:firstLineChars="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挥发分(Vdaf%）:</w:t>
            </w:r>
          </w:p>
        </w:tc>
      </w:tr>
      <w:tr w14:paraId="43147A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2" w:hRule="atLeast"/>
        </w:trPr>
        <w:tc>
          <w:tcPr>
            <w:tcW w:w="1776" w:type="dxa"/>
            <w:vMerge w:val="continue"/>
            <w:tcBorders>
              <w:left w:val="single" w:color="000000" w:sz="4" w:space="0"/>
              <w:right w:val="single" w:color="000000" w:sz="4" w:space="0"/>
            </w:tcBorders>
            <w:shd w:val="clear" w:color="auto" w:fill="auto"/>
            <w:noWrap/>
            <w:vAlign w:val="center"/>
          </w:tcPr>
          <w:p w14:paraId="22FE7976">
            <w:pPr>
              <w:keepNext w:val="0"/>
              <w:keepLines w:val="0"/>
              <w:widowControl/>
              <w:suppressLineNumbers w:val="0"/>
              <w:ind w:left="0" w:leftChars="0" w:firstLine="0" w:firstLineChars="0"/>
              <w:jc w:val="left"/>
              <w:textAlignment w:val="center"/>
              <w:rPr>
                <w:rFonts w:hint="eastAsia" w:ascii="仿宋" w:hAnsi="仿宋" w:eastAsia="仿宋" w:cs="仿宋"/>
                <w:i w:val="0"/>
                <w:iCs w:val="0"/>
                <w:color w:val="000000"/>
                <w:kern w:val="0"/>
                <w:sz w:val="24"/>
                <w:szCs w:val="24"/>
                <w:u w:val="none"/>
                <w:lang w:val="en-US" w:eastAsia="zh-CN" w:bidi="ar"/>
              </w:rPr>
            </w:pPr>
          </w:p>
        </w:tc>
        <w:tc>
          <w:tcPr>
            <w:tcW w:w="1126" w:type="dxa"/>
            <w:vMerge w:val="continue"/>
            <w:tcBorders>
              <w:left w:val="single" w:color="000000" w:sz="4" w:space="0"/>
              <w:right w:val="single" w:color="000000" w:sz="4" w:space="0"/>
            </w:tcBorders>
            <w:shd w:val="clear" w:color="auto" w:fill="auto"/>
            <w:vAlign w:val="center"/>
          </w:tcPr>
          <w:p w14:paraId="26346FCB">
            <w:pPr>
              <w:keepNext w:val="0"/>
              <w:keepLines w:val="0"/>
              <w:widowControl/>
              <w:suppressLineNumbers w:val="0"/>
              <w:ind w:left="0" w:leftChars="0" w:firstLine="0" w:firstLineChars="0"/>
              <w:jc w:val="left"/>
              <w:textAlignment w:val="center"/>
              <w:rPr>
                <w:rFonts w:hint="eastAsia" w:ascii="仿宋" w:hAnsi="仿宋" w:eastAsia="仿宋" w:cs="仿宋"/>
                <w:i w:val="0"/>
                <w:iCs w:val="0"/>
                <w:color w:val="000000"/>
                <w:kern w:val="0"/>
                <w:sz w:val="24"/>
                <w:szCs w:val="24"/>
                <w:u w:val="none"/>
                <w:lang w:val="en-US" w:eastAsia="zh-CN" w:bidi="ar"/>
              </w:rPr>
            </w:pPr>
          </w:p>
        </w:tc>
        <w:tc>
          <w:tcPr>
            <w:tcW w:w="1564" w:type="dxa"/>
            <w:vMerge w:val="continue"/>
            <w:tcBorders>
              <w:left w:val="single" w:color="000000" w:sz="4" w:space="0"/>
              <w:right w:val="single" w:color="000000" w:sz="4" w:space="0"/>
            </w:tcBorders>
            <w:shd w:val="clear" w:color="auto" w:fill="auto"/>
            <w:vAlign w:val="center"/>
          </w:tcPr>
          <w:p w14:paraId="3C20D328">
            <w:pPr>
              <w:keepNext w:val="0"/>
              <w:keepLines w:val="0"/>
              <w:widowControl/>
              <w:suppressLineNumbers w:val="0"/>
              <w:ind w:left="0" w:leftChars="0" w:firstLine="0" w:firstLineChars="0"/>
              <w:jc w:val="left"/>
              <w:textAlignment w:val="center"/>
              <w:rPr>
                <w:rFonts w:hint="eastAsia" w:ascii="仿宋" w:hAnsi="仿宋" w:eastAsia="仿宋" w:cs="仿宋"/>
                <w:i w:val="0"/>
                <w:iCs w:val="0"/>
                <w:color w:val="000000"/>
                <w:kern w:val="0"/>
                <w:sz w:val="24"/>
                <w:szCs w:val="24"/>
                <w:u w:val="none"/>
                <w:lang w:val="en-US" w:eastAsia="zh-CN" w:bidi="ar"/>
              </w:rPr>
            </w:pPr>
          </w:p>
        </w:tc>
        <w:tc>
          <w:tcPr>
            <w:tcW w:w="2014" w:type="dxa"/>
            <w:vMerge w:val="continue"/>
            <w:tcBorders>
              <w:left w:val="single" w:color="000000" w:sz="4" w:space="0"/>
              <w:right w:val="single" w:color="000000" w:sz="4" w:space="0"/>
            </w:tcBorders>
            <w:shd w:val="clear" w:color="auto" w:fill="auto"/>
            <w:vAlign w:val="center"/>
          </w:tcPr>
          <w:p w14:paraId="3752DB96">
            <w:pPr>
              <w:keepNext w:val="0"/>
              <w:keepLines w:val="0"/>
              <w:widowControl/>
              <w:suppressLineNumbers w:val="0"/>
              <w:ind w:left="0" w:leftChars="0" w:firstLine="0" w:firstLineChars="0"/>
              <w:jc w:val="left"/>
              <w:textAlignment w:val="center"/>
              <w:rPr>
                <w:rFonts w:hint="eastAsia" w:ascii="仿宋" w:hAnsi="仿宋" w:eastAsia="仿宋" w:cs="仿宋"/>
                <w:i w:val="0"/>
                <w:iCs w:val="0"/>
                <w:color w:val="000000"/>
                <w:kern w:val="0"/>
                <w:sz w:val="24"/>
                <w:szCs w:val="24"/>
                <w:u w:val="none"/>
                <w:lang w:val="en-US" w:eastAsia="zh-CN" w:bidi="ar"/>
              </w:rPr>
            </w:pPr>
          </w:p>
        </w:tc>
        <w:tc>
          <w:tcPr>
            <w:tcW w:w="1176" w:type="dxa"/>
            <w:vMerge w:val="continue"/>
            <w:tcBorders>
              <w:left w:val="single" w:color="000000" w:sz="4" w:space="0"/>
              <w:right w:val="single" w:color="000000" w:sz="4" w:space="0"/>
            </w:tcBorders>
            <w:shd w:val="clear" w:color="auto" w:fill="auto"/>
            <w:vAlign w:val="center"/>
          </w:tcPr>
          <w:p w14:paraId="48F8A81E">
            <w:pPr>
              <w:keepNext w:val="0"/>
              <w:keepLines w:val="0"/>
              <w:widowControl/>
              <w:suppressLineNumbers w:val="0"/>
              <w:ind w:left="0" w:leftChars="0" w:firstLine="0" w:firstLineChars="0"/>
              <w:jc w:val="left"/>
              <w:textAlignment w:val="center"/>
              <w:rPr>
                <w:rFonts w:hint="eastAsia" w:ascii="仿宋" w:hAnsi="仿宋" w:eastAsia="仿宋" w:cs="仿宋"/>
                <w:i w:val="0"/>
                <w:iCs w:val="0"/>
                <w:color w:val="000000"/>
                <w:kern w:val="0"/>
                <w:sz w:val="24"/>
                <w:szCs w:val="24"/>
                <w:u w:val="none"/>
                <w:lang w:val="en-US" w:eastAsia="zh-CN" w:bidi="ar"/>
              </w:rPr>
            </w:pPr>
          </w:p>
        </w:tc>
        <w:tc>
          <w:tcPr>
            <w:tcW w:w="2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78641A">
            <w:pPr>
              <w:keepNext w:val="0"/>
              <w:keepLines w:val="0"/>
              <w:widowControl/>
              <w:suppressLineNumbers w:val="0"/>
              <w:ind w:left="0" w:leftChars="0" w:firstLine="0" w:firstLineChars="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限下率（%）：</w:t>
            </w:r>
          </w:p>
        </w:tc>
      </w:tr>
      <w:tr w14:paraId="4721E6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2" w:hRule="atLeast"/>
        </w:trPr>
        <w:tc>
          <w:tcPr>
            <w:tcW w:w="1776" w:type="dxa"/>
            <w:vMerge w:val="continue"/>
            <w:tcBorders>
              <w:left w:val="single" w:color="000000" w:sz="4" w:space="0"/>
              <w:bottom w:val="single" w:color="000000" w:sz="4" w:space="0"/>
              <w:right w:val="single" w:color="000000" w:sz="4" w:space="0"/>
            </w:tcBorders>
            <w:shd w:val="clear" w:color="auto" w:fill="auto"/>
            <w:noWrap/>
            <w:vAlign w:val="center"/>
          </w:tcPr>
          <w:p w14:paraId="5520F195">
            <w:pPr>
              <w:keepNext w:val="0"/>
              <w:keepLines w:val="0"/>
              <w:widowControl/>
              <w:suppressLineNumbers w:val="0"/>
              <w:ind w:left="0" w:leftChars="0" w:firstLine="0" w:firstLineChars="0"/>
              <w:jc w:val="left"/>
              <w:textAlignment w:val="center"/>
              <w:rPr>
                <w:rFonts w:hint="eastAsia" w:ascii="仿宋" w:hAnsi="仿宋" w:eastAsia="仿宋" w:cs="仿宋"/>
                <w:i w:val="0"/>
                <w:iCs w:val="0"/>
                <w:color w:val="000000"/>
                <w:kern w:val="0"/>
                <w:sz w:val="24"/>
                <w:szCs w:val="24"/>
                <w:u w:val="none"/>
                <w:lang w:val="en-US" w:eastAsia="zh-CN" w:bidi="ar"/>
              </w:rPr>
            </w:pPr>
          </w:p>
        </w:tc>
        <w:tc>
          <w:tcPr>
            <w:tcW w:w="1126" w:type="dxa"/>
            <w:vMerge w:val="continue"/>
            <w:tcBorders>
              <w:left w:val="single" w:color="000000" w:sz="4" w:space="0"/>
              <w:bottom w:val="single" w:color="000000" w:sz="4" w:space="0"/>
              <w:right w:val="single" w:color="000000" w:sz="4" w:space="0"/>
            </w:tcBorders>
            <w:shd w:val="clear" w:color="auto" w:fill="auto"/>
            <w:vAlign w:val="center"/>
          </w:tcPr>
          <w:p w14:paraId="0F1B717D">
            <w:pPr>
              <w:keepNext w:val="0"/>
              <w:keepLines w:val="0"/>
              <w:widowControl/>
              <w:suppressLineNumbers w:val="0"/>
              <w:ind w:left="0" w:leftChars="0" w:firstLine="0" w:firstLineChars="0"/>
              <w:jc w:val="left"/>
              <w:textAlignment w:val="center"/>
              <w:rPr>
                <w:rFonts w:hint="eastAsia" w:ascii="仿宋" w:hAnsi="仿宋" w:eastAsia="仿宋" w:cs="仿宋"/>
                <w:i w:val="0"/>
                <w:iCs w:val="0"/>
                <w:color w:val="000000"/>
                <w:kern w:val="0"/>
                <w:sz w:val="24"/>
                <w:szCs w:val="24"/>
                <w:u w:val="none"/>
                <w:lang w:val="en-US" w:eastAsia="zh-CN" w:bidi="ar"/>
              </w:rPr>
            </w:pPr>
          </w:p>
        </w:tc>
        <w:tc>
          <w:tcPr>
            <w:tcW w:w="1564" w:type="dxa"/>
            <w:vMerge w:val="continue"/>
            <w:tcBorders>
              <w:left w:val="single" w:color="000000" w:sz="4" w:space="0"/>
              <w:bottom w:val="single" w:color="000000" w:sz="4" w:space="0"/>
              <w:right w:val="single" w:color="000000" w:sz="4" w:space="0"/>
            </w:tcBorders>
            <w:shd w:val="clear" w:color="auto" w:fill="auto"/>
            <w:vAlign w:val="center"/>
          </w:tcPr>
          <w:p w14:paraId="0446E719">
            <w:pPr>
              <w:keepNext w:val="0"/>
              <w:keepLines w:val="0"/>
              <w:widowControl/>
              <w:suppressLineNumbers w:val="0"/>
              <w:ind w:left="0" w:leftChars="0" w:firstLine="0" w:firstLineChars="0"/>
              <w:jc w:val="left"/>
              <w:textAlignment w:val="center"/>
              <w:rPr>
                <w:rFonts w:hint="eastAsia" w:ascii="仿宋" w:hAnsi="仿宋" w:eastAsia="仿宋" w:cs="仿宋"/>
                <w:i w:val="0"/>
                <w:iCs w:val="0"/>
                <w:color w:val="000000"/>
                <w:kern w:val="0"/>
                <w:sz w:val="24"/>
                <w:szCs w:val="24"/>
                <w:u w:val="none"/>
                <w:lang w:val="en-US" w:eastAsia="zh-CN" w:bidi="ar"/>
              </w:rPr>
            </w:pPr>
          </w:p>
        </w:tc>
        <w:tc>
          <w:tcPr>
            <w:tcW w:w="2014" w:type="dxa"/>
            <w:vMerge w:val="continue"/>
            <w:tcBorders>
              <w:left w:val="single" w:color="000000" w:sz="4" w:space="0"/>
              <w:bottom w:val="single" w:color="000000" w:sz="4" w:space="0"/>
              <w:right w:val="single" w:color="000000" w:sz="4" w:space="0"/>
            </w:tcBorders>
            <w:shd w:val="clear" w:color="auto" w:fill="auto"/>
            <w:vAlign w:val="center"/>
          </w:tcPr>
          <w:p w14:paraId="421C2939">
            <w:pPr>
              <w:keepNext w:val="0"/>
              <w:keepLines w:val="0"/>
              <w:widowControl/>
              <w:suppressLineNumbers w:val="0"/>
              <w:ind w:left="0" w:leftChars="0" w:firstLine="0" w:firstLineChars="0"/>
              <w:jc w:val="left"/>
              <w:textAlignment w:val="center"/>
              <w:rPr>
                <w:rFonts w:hint="eastAsia" w:ascii="仿宋" w:hAnsi="仿宋" w:eastAsia="仿宋" w:cs="仿宋"/>
                <w:i w:val="0"/>
                <w:iCs w:val="0"/>
                <w:color w:val="000000"/>
                <w:kern w:val="0"/>
                <w:sz w:val="24"/>
                <w:szCs w:val="24"/>
                <w:u w:val="none"/>
                <w:lang w:val="en-US" w:eastAsia="zh-CN" w:bidi="ar"/>
              </w:rPr>
            </w:pPr>
          </w:p>
        </w:tc>
        <w:tc>
          <w:tcPr>
            <w:tcW w:w="1176" w:type="dxa"/>
            <w:vMerge w:val="continue"/>
            <w:tcBorders>
              <w:left w:val="single" w:color="000000" w:sz="4" w:space="0"/>
              <w:bottom w:val="single" w:color="000000" w:sz="4" w:space="0"/>
              <w:right w:val="single" w:color="000000" w:sz="4" w:space="0"/>
            </w:tcBorders>
            <w:shd w:val="clear" w:color="auto" w:fill="auto"/>
            <w:vAlign w:val="center"/>
          </w:tcPr>
          <w:p w14:paraId="4D93E7D1">
            <w:pPr>
              <w:keepNext w:val="0"/>
              <w:keepLines w:val="0"/>
              <w:widowControl/>
              <w:suppressLineNumbers w:val="0"/>
              <w:ind w:left="0" w:leftChars="0" w:firstLine="0" w:firstLineChars="0"/>
              <w:jc w:val="left"/>
              <w:textAlignment w:val="center"/>
              <w:rPr>
                <w:rFonts w:hint="eastAsia" w:ascii="仿宋" w:hAnsi="仿宋" w:eastAsia="仿宋" w:cs="仿宋"/>
                <w:i w:val="0"/>
                <w:iCs w:val="0"/>
                <w:color w:val="000000"/>
                <w:kern w:val="0"/>
                <w:sz w:val="24"/>
                <w:szCs w:val="24"/>
                <w:u w:val="none"/>
                <w:lang w:val="en-US" w:eastAsia="zh-CN" w:bidi="ar"/>
              </w:rPr>
            </w:pPr>
          </w:p>
        </w:tc>
        <w:tc>
          <w:tcPr>
            <w:tcW w:w="2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3FD96F">
            <w:pPr>
              <w:keepNext w:val="0"/>
              <w:keepLines w:val="0"/>
              <w:widowControl/>
              <w:suppressLineNumbers w:val="0"/>
              <w:ind w:left="0" w:leftChars="0" w:firstLine="0" w:firstLineChars="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含矸率（%）：</w:t>
            </w:r>
          </w:p>
        </w:tc>
      </w:tr>
      <w:tr w14:paraId="0ED161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2" w:hRule="atLeast"/>
        </w:trPr>
        <w:tc>
          <w:tcPr>
            <w:tcW w:w="1776" w:type="dxa"/>
            <w:vMerge w:val="continue"/>
            <w:tcBorders>
              <w:left w:val="single" w:color="000000" w:sz="4" w:space="0"/>
              <w:right w:val="single" w:color="000000" w:sz="4" w:space="0"/>
            </w:tcBorders>
            <w:shd w:val="clear" w:color="auto" w:fill="auto"/>
            <w:noWrap/>
            <w:vAlign w:val="center"/>
          </w:tcPr>
          <w:p w14:paraId="04497883">
            <w:pPr>
              <w:keepNext w:val="0"/>
              <w:keepLines w:val="0"/>
              <w:widowControl/>
              <w:suppressLineNumbers w:val="0"/>
              <w:jc w:val="left"/>
              <w:textAlignment w:val="center"/>
            </w:pPr>
          </w:p>
        </w:tc>
        <w:tc>
          <w:tcPr>
            <w:tcW w:w="1126" w:type="dxa"/>
            <w:vMerge w:val="continue"/>
            <w:tcBorders>
              <w:left w:val="single" w:color="000000" w:sz="4" w:space="0"/>
              <w:right w:val="single" w:color="000000" w:sz="4" w:space="0"/>
            </w:tcBorders>
            <w:shd w:val="clear" w:color="auto" w:fill="auto"/>
            <w:vAlign w:val="center"/>
          </w:tcPr>
          <w:p w14:paraId="1C8854C3">
            <w:pPr>
              <w:keepNext w:val="0"/>
              <w:keepLines w:val="0"/>
              <w:widowControl/>
              <w:suppressLineNumbers w:val="0"/>
              <w:jc w:val="left"/>
              <w:textAlignment w:val="center"/>
            </w:pPr>
          </w:p>
        </w:tc>
        <w:tc>
          <w:tcPr>
            <w:tcW w:w="1564" w:type="dxa"/>
            <w:vMerge w:val="continue"/>
            <w:tcBorders>
              <w:left w:val="single" w:color="000000" w:sz="4" w:space="0"/>
              <w:right w:val="single" w:color="000000" w:sz="4" w:space="0"/>
            </w:tcBorders>
            <w:shd w:val="clear" w:color="auto" w:fill="auto"/>
            <w:vAlign w:val="center"/>
          </w:tcPr>
          <w:p w14:paraId="7B9A69FD">
            <w:pPr>
              <w:keepNext w:val="0"/>
              <w:keepLines w:val="0"/>
              <w:widowControl/>
              <w:suppressLineNumbers w:val="0"/>
              <w:jc w:val="left"/>
              <w:textAlignment w:val="center"/>
            </w:pPr>
          </w:p>
        </w:tc>
        <w:tc>
          <w:tcPr>
            <w:tcW w:w="2014" w:type="dxa"/>
            <w:vMerge w:val="continue"/>
            <w:tcBorders>
              <w:left w:val="single" w:color="000000" w:sz="4" w:space="0"/>
              <w:right w:val="single" w:color="000000" w:sz="4" w:space="0"/>
            </w:tcBorders>
            <w:shd w:val="clear" w:color="auto" w:fill="auto"/>
            <w:vAlign w:val="center"/>
          </w:tcPr>
          <w:p w14:paraId="387D980D">
            <w:pPr>
              <w:keepNext w:val="0"/>
              <w:keepLines w:val="0"/>
              <w:widowControl/>
              <w:suppressLineNumbers w:val="0"/>
              <w:jc w:val="left"/>
              <w:textAlignment w:val="center"/>
            </w:pPr>
          </w:p>
        </w:tc>
        <w:tc>
          <w:tcPr>
            <w:tcW w:w="1176" w:type="dxa"/>
            <w:vMerge w:val="continue"/>
            <w:tcBorders>
              <w:left w:val="single" w:color="000000" w:sz="4" w:space="0"/>
              <w:right w:val="single" w:color="000000" w:sz="4" w:space="0"/>
            </w:tcBorders>
            <w:shd w:val="clear" w:color="auto" w:fill="auto"/>
            <w:vAlign w:val="center"/>
          </w:tcPr>
          <w:p w14:paraId="6F47C5FE">
            <w:pPr>
              <w:keepNext w:val="0"/>
              <w:keepLines w:val="0"/>
              <w:widowControl/>
              <w:suppressLineNumbers w:val="0"/>
              <w:jc w:val="left"/>
              <w:textAlignment w:val="center"/>
            </w:pPr>
          </w:p>
        </w:tc>
        <w:tc>
          <w:tcPr>
            <w:tcW w:w="2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3C2894">
            <w:pPr>
              <w:keepNext w:val="0"/>
              <w:keepLines w:val="0"/>
              <w:widowControl/>
              <w:suppressLineNumbers w:val="0"/>
              <w:ind w:left="0" w:leftChars="0" w:firstLine="0" w:firstLineChars="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灰分（Ad%)：≤30%</w:t>
            </w:r>
          </w:p>
        </w:tc>
      </w:tr>
      <w:tr w14:paraId="051C85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2" w:hRule="atLeast"/>
        </w:trPr>
        <w:tc>
          <w:tcPr>
            <w:tcW w:w="1776" w:type="dxa"/>
            <w:vMerge w:val="continue"/>
            <w:tcBorders>
              <w:left w:val="single" w:color="000000" w:sz="4" w:space="0"/>
              <w:right w:val="single" w:color="000000" w:sz="4" w:space="0"/>
            </w:tcBorders>
            <w:shd w:val="clear" w:color="auto" w:fill="auto"/>
            <w:noWrap/>
            <w:vAlign w:val="center"/>
          </w:tcPr>
          <w:p w14:paraId="7FC1E171">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p>
        </w:tc>
        <w:tc>
          <w:tcPr>
            <w:tcW w:w="1126" w:type="dxa"/>
            <w:vMerge w:val="continue"/>
            <w:tcBorders>
              <w:left w:val="single" w:color="000000" w:sz="4" w:space="0"/>
              <w:right w:val="single" w:color="000000" w:sz="4" w:space="0"/>
            </w:tcBorders>
            <w:shd w:val="clear" w:color="auto" w:fill="auto"/>
            <w:vAlign w:val="center"/>
          </w:tcPr>
          <w:p w14:paraId="2B59142A">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p>
        </w:tc>
        <w:tc>
          <w:tcPr>
            <w:tcW w:w="1564" w:type="dxa"/>
            <w:vMerge w:val="continue"/>
            <w:tcBorders>
              <w:left w:val="single" w:color="000000" w:sz="4" w:space="0"/>
              <w:right w:val="single" w:color="000000" w:sz="4" w:space="0"/>
            </w:tcBorders>
            <w:shd w:val="clear" w:color="auto" w:fill="auto"/>
            <w:vAlign w:val="center"/>
          </w:tcPr>
          <w:p w14:paraId="0CF8AB34">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p>
        </w:tc>
        <w:tc>
          <w:tcPr>
            <w:tcW w:w="2014" w:type="dxa"/>
            <w:vMerge w:val="continue"/>
            <w:tcBorders>
              <w:left w:val="single" w:color="000000" w:sz="4" w:space="0"/>
              <w:right w:val="single" w:color="000000" w:sz="4" w:space="0"/>
            </w:tcBorders>
            <w:shd w:val="clear" w:color="auto" w:fill="auto"/>
            <w:vAlign w:val="center"/>
          </w:tcPr>
          <w:p w14:paraId="1CF381B8">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p>
        </w:tc>
        <w:tc>
          <w:tcPr>
            <w:tcW w:w="1176" w:type="dxa"/>
            <w:vMerge w:val="continue"/>
            <w:tcBorders>
              <w:left w:val="single" w:color="000000" w:sz="4" w:space="0"/>
              <w:right w:val="single" w:color="000000" w:sz="4" w:space="0"/>
            </w:tcBorders>
            <w:shd w:val="clear" w:color="auto" w:fill="auto"/>
            <w:vAlign w:val="center"/>
          </w:tcPr>
          <w:p w14:paraId="0358F6DE">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p>
        </w:tc>
        <w:tc>
          <w:tcPr>
            <w:tcW w:w="2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BF170D">
            <w:pPr>
              <w:keepNext w:val="0"/>
              <w:keepLines w:val="0"/>
              <w:widowControl/>
              <w:suppressLineNumbers w:val="0"/>
              <w:ind w:left="0" w:leftChars="0" w:firstLine="0" w:firstLineChars="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硫分(St,d%)：≤1%</w:t>
            </w:r>
          </w:p>
        </w:tc>
      </w:tr>
      <w:tr w14:paraId="70061F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2" w:hRule="atLeast"/>
        </w:trPr>
        <w:tc>
          <w:tcPr>
            <w:tcW w:w="1776" w:type="dxa"/>
            <w:vMerge w:val="continue"/>
            <w:tcBorders>
              <w:left w:val="single" w:color="000000" w:sz="4" w:space="0"/>
              <w:right w:val="single" w:color="000000" w:sz="4" w:space="0"/>
            </w:tcBorders>
            <w:shd w:val="clear" w:color="auto" w:fill="auto"/>
            <w:noWrap/>
            <w:vAlign w:val="center"/>
          </w:tcPr>
          <w:p w14:paraId="272E6FE1">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p>
        </w:tc>
        <w:tc>
          <w:tcPr>
            <w:tcW w:w="1126" w:type="dxa"/>
            <w:vMerge w:val="continue"/>
            <w:tcBorders>
              <w:left w:val="single" w:color="000000" w:sz="4" w:space="0"/>
              <w:right w:val="single" w:color="000000" w:sz="4" w:space="0"/>
            </w:tcBorders>
            <w:shd w:val="clear" w:color="auto" w:fill="auto"/>
            <w:vAlign w:val="center"/>
          </w:tcPr>
          <w:p w14:paraId="0487989F">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p>
        </w:tc>
        <w:tc>
          <w:tcPr>
            <w:tcW w:w="1564" w:type="dxa"/>
            <w:vMerge w:val="continue"/>
            <w:tcBorders>
              <w:left w:val="single" w:color="000000" w:sz="4" w:space="0"/>
              <w:right w:val="single" w:color="000000" w:sz="4" w:space="0"/>
            </w:tcBorders>
            <w:shd w:val="clear" w:color="auto" w:fill="auto"/>
            <w:vAlign w:val="center"/>
          </w:tcPr>
          <w:p w14:paraId="13382CCD">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p>
        </w:tc>
        <w:tc>
          <w:tcPr>
            <w:tcW w:w="2014" w:type="dxa"/>
            <w:vMerge w:val="continue"/>
            <w:tcBorders>
              <w:left w:val="single" w:color="000000" w:sz="4" w:space="0"/>
              <w:right w:val="single" w:color="000000" w:sz="4" w:space="0"/>
            </w:tcBorders>
            <w:shd w:val="clear" w:color="auto" w:fill="auto"/>
            <w:vAlign w:val="center"/>
          </w:tcPr>
          <w:p w14:paraId="2C5E4EF9">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p>
        </w:tc>
        <w:tc>
          <w:tcPr>
            <w:tcW w:w="1176" w:type="dxa"/>
            <w:vMerge w:val="continue"/>
            <w:tcBorders>
              <w:left w:val="single" w:color="000000" w:sz="4" w:space="0"/>
              <w:right w:val="single" w:color="000000" w:sz="4" w:space="0"/>
            </w:tcBorders>
            <w:shd w:val="clear" w:color="auto" w:fill="auto"/>
            <w:vAlign w:val="center"/>
          </w:tcPr>
          <w:p w14:paraId="4EAB27E2">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p>
        </w:tc>
        <w:tc>
          <w:tcPr>
            <w:tcW w:w="2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58E8B1">
            <w:pPr>
              <w:keepNext w:val="0"/>
              <w:keepLines w:val="0"/>
              <w:widowControl/>
              <w:suppressLineNumbers w:val="0"/>
              <w:ind w:left="0" w:leftChars="0" w:firstLine="0" w:firstLineChars="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水分(Mt%)：≤10%</w:t>
            </w:r>
          </w:p>
        </w:tc>
      </w:tr>
      <w:tr w14:paraId="4B0D7C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2" w:hRule="atLeast"/>
        </w:trPr>
        <w:tc>
          <w:tcPr>
            <w:tcW w:w="1776" w:type="dxa"/>
            <w:vMerge w:val="continue"/>
            <w:tcBorders>
              <w:left w:val="single" w:color="000000" w:sz="4" w:space="0"/>
              <w:right w:val="single" w:color="000000" w:sz="4" w:space="0"/>
            </w:tcBorders>
            <w:shd w:val="clear" w:color="auto" w:fill="auto"/>
            <w:noWrap/>
            <w:vAlign w:val="center"/>
          </w:tcPr>
          <w:p w14:paraId="5315601F">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p>
        </w:tc>
        <w:tc>
          <w:tcPr>
            <w:tcW w:w="1126" w:type="dxa"/>
            <w:vMerge w:val="continue"/>
            <w:tcBorders>
              <w:left w:val="single" w:color="000000" w:sz="4" w:space="0"/>
              <w:right w:val="single" w:color="000000" w:sz="4" w:space="0"/>
            </w:tcBorders>
            <w:shd w:val="clear" w:color="auto" w:fill="auto"/>
            <w:vAlign w:val="center"/>
          </w:tcPr>
          <w:p w14:paraId="7F52E668">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p>
        </w:tc>
        <w:tc>
          <w:tcPr>
            <w:tcW w:w="1564" w:type="dxa"/>
            <w:vMerge w:val="continue"/>
            <w:tcBorders>
              <w:left w:val="single" w:color="000000" w:sz="4" w:space="0"/>
              <w:right w:val="single" w:color="000000" w:sz="4" w:space="0"/>
            </w:tcBorders>
            <w:shd w:val="clear" w:color="auto" w:fill="auto"/>
            <w:vAlign w:val="center"/>
          </w:tcPr>
          <w:p w14:paraId="2663F551">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p>
        </w:tc>
        <w:tc>
          <w:tcPr>
            <w:tcW w:w="2014" w:type="dxa"/>
            <w:vMerge w:val="continue"/>
            <w:tcBorders>
              <w:left w:val="single" w:color="000000" w:sz="4" w:space="0"/>
              <w:right w:val="single" w:color="000000" w:sz="4" w:space="0"/>
            </w:tcBorders>
            <w:shd w:val="clear" w:color="auto" w:fill="auto"/>
            <w:vAlign w:val="center"/>
          </w:tcPr>
          <w:p w14:paraId="482D7E2A">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p>
        </w:tc>
        <w:tc>
          <w:tcPr>
            <w:tcW w:w="1176" w:type="dxa"/>
            <w:vMerge w:val="continue"/>
            <w:tcBorders>
              <w:left w:val="single" w:color="000000" w:sz="4" w:space="0"/>
              <w:right w:val="single" w:color="000000" w:sz="4" w:space="0"/>
            </w:tcBorders>
            <w:shd w:val="clear" w:color="auto" w:fill="auto"/>
            <w:vAlign w:val="center"/>
          </w:tcPr>
          <w:p w14:paraId="31F18490">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p>
        </w:tc>
        <w:tc>
          <w:tcPr>
            <w:tcW w:w="2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470CB0">
            <w:pPr>
              <w:keepNext w:val="0"/>
              <w:keepLines w:val="0"/>
              <w:widowControl/>
              <w:suppressLineNumbers w:val="0"/>
              <w:ind w:left="0" w:leftChars="0" w:firstLine="0" w:firstLineChars="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挥发分(Vdaf%）:</w:t>
            </w:r>
          </w:p>
        </w:tc>
      </w:tr>
      <w:tr w14:paraId="07E6A5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2" w:hRule="atLeast"/>
        </w:trPr>
        <w:tc>
          <w:tcPr>
            <w:tcW w:w="1776" w:type="dxa"/>
            <w:vMerge w:val="continue"/>
            <w:tcBorders>
              <w:left w:val="single" w:color="000000" w:sz="4" w:space="0"/>
              <w:right w:val="single" w:color="000000" w:sz="4" w:space="0"/>
            </w:tcBorders>
            <w:shd w:val="clear" w:color="auto" w:fill="auto"/>
            <w:noWrap/>
            <w:vAlign w:val="center"/>
          </w:tcPr>
          <w:p w14:paraId="64E060CF">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p>
        </w:tc>
        <w:tc>
          <w:tcPr>
            <w:tcW w:w="1126" w:type="dxa"/>
            <w:vMerge w:val="continue"/>
            <w:tcBorders>
              <w:left w:val="single" w:color="000000" w:sz="4" w:space="0"/>
              <w:right w:val="single" w:color="000000" w:sz="4" w:space="0"/>
            </w:tcBorders>
            <w:shd w:val="clear" w:color="auto" w:fill="auto"/>
            <w:vAlign w:val="center"/>
          </w:tcPr>
          <w:p w14:paraId="036A5C1B">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p>
        </w:tc>
        <w:tc>
          <w:tcPr>
            <w:tcW w:w="1564" w:type="dxa"/>
            <w:vMerge w:val="continue"/>
            <w:tcBorders>
              <w:left w:val="single" w:color="000000" w:sz="4" w:space="0"/>
              <w:right w:val="single" w:color="000000" w:sz="4" w:space="0"/>
            </w:tcBorders>
            <w:shd w:val="clear" w:color="auto" w:fill="auto"/>
            <w:vAlign w:val="center"/>
          </w:tcPr>
          <w:p w14:paraId="62D60CFA">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p>
        </w:tc>
        <w:tc>
          <w:tcPr>
            <w:tcW w:w="2014" w:type="dxa"/>
            <w:vMerge w:val="continue"/>
            <w:tcBorders>
              <w:left w:val="single" w:color="000000" w:sz="4" w:space="0"/>
              <w:right w:val="single" w:color="000000" w:sz="4" w:space="0"/>
            </w:tcBorders>
            <w:shd w:val="clear" w:color="auto" w:fill="auto"/>
            <w:vAlign w:val="center"/>
          </w:tcPr>
          <w:p w14:paraId="4788B594">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p>
        </w:tc>
        <w:tc>
          <w:tcPr>
            <w:tcW w:w="1176" w:type="dxa"/>
            <w:vMerge w:val="continue"/>
            <w:tcBorders>
              <w:left w:val="single" w:color="000000" w:sz="4" w:space="0"/>
              <w:right w:val="single" w:color="000000" w:sz="4" w:space="0"/>
            </w:tcBorders>
            <w:shd w:val="clear" w:color="auto" w:fill="auto"/>
            <w:vAlign w:val="center"/>
          </w:tcPr>
          <w:p w14:paraId="506C25F6">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p>
        </w:tc>
        <w:tc>
          <w:tcPr>
            <w:tcW w:w="2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5D2B77">
            <w:pPr>
              <w:keepNext w:val="0"/>
              <w:keepLines w:val="0"/>
              <w:widowControl/>
              <w:suppressLineNumbers w:val="0"/>
              <w:ind w:left="0" w:leftChars="0" w:firstLine="0" w:firstLineChars="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限下率（%）：</w:t>
            </w:r>
          </w:p>
        </w:tc>
      </w:tr>
      <w:tr w14:paraId="4012F3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2" w:hRule="atLeast"/>
        </w:trPr>
        <w:tc>
          <w:tcPr>
            <w:tcW w:w="1776" w:type="dxa"/>
            <w:vMerge w:val="continue"/>
            <w:tcBorders>
              <w:left w:val="single" w:color="000000" w:sz="4" w:space="0"/>
              <w:bottom w:val="single" w:color="000000" w:sz="4" w:space="0"/>
              <w:right w:val="single" w:color="000000" w:sz="4" w:space="0"/>
            </w:tcBorders>
            <w:shd w:val="clear" w:color="auto" w:fill="auto"/>
            <w:noWrap/>
            <w:vAlign w:val="center"/>
          </w:tcPr>
          <w:p w14:paraId="3F0835E6">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p>
        </w:tc>
        <w:tc>
          <w:tcPr>
            <w:tcW w:w="1126" w:type="dxa"/>
            <w:vMerge w:val="continue"/>
            <w:tcBorders>
              <w:left w:val="single" w:color="000000" w:sz="4" w:space="0"/>
              <w:bottom w:val="single" w:color="000000" w:sz="4" w:space="0"/>
              <w:right w:val="single" w:color="000000" w:sz="4" w:space="0"/>
            </w:tcBorders>
            <w:shd w:val="clear" w:color="auto" w:fill="auto"/>
            <w:vAlign w:val="center"/>
          </w:tcPr>
          <w:p w14:paraId="0BA31DAB">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p>
        </w:tc>
        <w:tc>
          <w:tcPr>
            <w:tcW w:w="1564" w:type="dxa"/>
            <w:vMerge w:val="continue"/>
            <w:tcBorders>
              <w:left w:val="single" w:color="000000" w:sz="4" w:space="0"/>
              <w:bottom w:val="single" w:color="000000" w:sz="4" w:space="0"/>
              <w:right w:val="single" w:color="000000" w:sz="4" w:space="0"/>
            </w:tcBorders>
            <w:shd w:val="clear" w:color="auto" w:fill="auto"/>
            <w:vAlign w:val="center"/>
          </w:tcPr>
          <w:p w14:paraId="37873CF3">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p>
        </w:tc>
        <w:tc>
          <w:tcPr>
            <w:tcW w:w="2014" w:type="dxa"/>
            <w:vMerge w:val="continue"/>
            <w:tcBorders>
              <w:left w:val="single" w:color="000000" w:sz="4" w:space="0"/>
              <w:bottom w:val="single" w:color="000000" w:sz="4" w:space="0"/>
              <w:right w:val="single" w:color="000000" w:sz="4" w:space="0"/>
            </w:tcBorders>
            <w:shd w:val="clear" w:color="auto" w:fill="auto"/>
            <w:vAlign w:val="center"/>
          </w:tcPr>
          <w:p w14:paraId="3F42A4EB">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p>
        </w:tc>
        <w:tc>
          <w:tcPr>
            <w:tcW w:w="1176" w:type="dxa"/>
            <w:vMerge w:val="continue"/>
            <w:tcBorders>
              <w:left w:val="single" w:color="000000" w:sz="4" w:space="0"/>
              <w:bottom w:val="single" w:color="000000" w:sz="4" w:space="0"/>
              <w:right w:val="single" w:color="000000" w:sz="4" w:space="0"/>
            </w:tcBorders>
            <w:shd w:val="clear" w:color="auto" w:fill="auto"/>
            <w:vAlign w:val="center"/>
          </w:tcPr>
          <w:p w14:paraId="51DB0A01">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p>
        </w:tc>
        <w:tc>
          <w:tcPr>
            <w:tcW w:w="2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93BA31">
            <w:pPr>
              <w:keepNext w:val="0"/>
              <w:keepLines w:val="0"/>
              <w:widowControl/>
              <w:suppressLineNumbers w:val="0"/>
              <w:ind w:left="0" w:leftChars="0" w:firstLine="0" w:firstLineChars="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含矸率（%）：</w:t>
            </w:r>
          </w:p>
        </w:tc>
      </w:tr>
    </w:tbl>
    <w:p w14:paraId="27D5C423">
      <w:pPr>
        <w:keepNext w:val="0"/>
        <w:keepLines w:val="0"/>
        <w:pageBreakBefore w:val="0"/>
        <w:widowControl w:val="0"/>
        <w:kinsoku/>
        <w:wordWrap/>
        <w:overflowPunct/>
        <w:topLinePunct w:val="0"/>
        <w:autoSpaceDE/>
        <w:autoSpaceDN/>
        <w:bidi w:val="0"/>
        <w:adjustRightInd/>
        <w:snapToGrid w:val="0"/>
        <w:spacing w:line="560" w:lineRule="exact"/>
        <w:ind w:firstLine="560" w:firstLineChars="200"/>
        <w:jc w:val="left"/>
        <w:textAlignment w:val="auto"/>
        <w:rPr>
          <w:rFonts w:hint="eastAsia" w:ascii="黑体" w:hAnsi="黑体" w:eastAsia="黑体"/>
          <w:sz w:val="28"/>
          <w:szCs w:val="28"/>
        </w:rPr>
      </w:pPr>
      <w:r>
        <w:rPr>
          <w:rFonts w:hint="eastAsia" w:ascii="黑体" w:hAnsi="黑体" w:eastAsia="黑体"/>
          <w:sz w:val="28"/>
          <w:szCs w:val="28"/>
        </w:rPr>
        <w:t>三、交易资格</w:t>
      </w:r>
    </w:p>
    <w:p w14:paraId="4C238224">
      <w:pPr>
        <w:keepNext w:val="0"/>
        <w:keepLines w:val="0"/>
        <w:pageBreakBefore w:val="0"/>
        <w:widowControl w:val="0"/>
        <w:kinsoku/>
        <w:wordWrap/>
        <w:overflowPunct/>
        <w:topLinePunct w:val="0"/>
        <w:autoSpaceDE/>
        <w:autoSpaceDN/>
        <w:bidi w:val="0"/>
        <w:adjustRightInd/>
        <w:snapToGrid w:val="0"/>
        <w:spacing w:line="560" w:lineRule="exact"/>
        <w:ind w:firstLine="560" w:firstLineChars="200"/>
        <w:jc w:val="left"/>
        <w:textAlignment w:val="auto"/>
        <w:rPr>
          <w:rFonts w:ascii="黑体" w:hAnsi="黑体" w:eastAsia="黑体"/>
          <w:sz w:val="28"/>
          <w:szCs w:val="28"/>
        </w:rPr>
      </w:pPr>
      <w:r>
        <w:rPr>
          <w:rFonts w:hint="eastAsia"/>
          <w:sz w:val="28"/>
          <w:szCs w:val="28"/>
          <w:lang w:bidi="ar"/>
        </w:rPr>
        <w:t>1.交易资格：陕西煤炭交易中心</w:t>
      </w:r>
      <w:r>
        <w:rPr>
          <w:rFonts w:hint="eastAsia"/>
          <w:sz w:val="28"/>
          <w:szCs w:val="28"/>
          <w:lang w:val="en-US" w:eastAsia="zh-CN" w:bidi="ar"/>
        </w:rPr>
        <w:t>陕煤集团</w:t>
      </w:r>
      <w:r>
        <w:rPr>
          <w:rFonts w:hint="eastAsia"/>
          <w:sz w:val="28"/>
          <w:szCs w:val="28"/>
          <w:lang w:bidi="ar"/>
        </w:rPr>
        <w:t>会员企业均可参与；</w:t>
      </w:r>
    </w:p>
    <w:p w14:paraId="19EC6A13">
      <w:pPr>
        <w:keepNext w:val="0"/>
        <w:keepLines w:val="0"/>
        <w:pageBreakBefore w:val="0"/>
        <w:widowControl w:val="0"/>
        <w:kinsoku/>
        <w:wordWrap/>
        <w:overflowPunct/>
        <w:topLinePunct w:val="0"/>
        <w:autoSpaceDE/>
        <w:autoSpaceDN/>
        <w:bidi w:val="0"/>
        <w:adjustRightInd/>
        <w:snapToGrid w:val="0"/>
        <w:spacing w:line="560" w:lineRule="exact"/>
        <w:ind w:firstLine="560" w:firstLineChars="200"/>
        <w:jc w:val="left"/>
        <w:textAlignment w:val="auto"/>
        <w:rPr>
          <w:rFonts w:hint="default"/>
          <w:sz w:val="28"/>
          <w:szCs w:val="28"/>
          <w:lang w:val="en-US" w:bidi="ar"/>
        </w:rPr>
      </w:pPr>
      <w:r>
        <w:rPr>
          <w:rFonts w:hint="eastAsia"/>
          <w:sz w:val="28"/>
          <w:szCs w:val="28"/>
          <w:lang w:bidi="ar"/>
        </w:rPr>
        <w:t>2.交易保证金：</w:t>
      </w:r>
      <w:r>
        <w:rPr>
          <w:rFonts w:hint="eastAsia"/>
          <w:sz w:val="28"/>
          <w:szCs w:val="28"/>
          <w:lang w:val="en-US" w:eastAsia="zh-CN" w:bidi="ar"/>
        </w:rPr>
        <w:t>起拍价*购买量*10%。</w:t>
      </w:r>
    </w:p>
    <w:p w14:paraId="36C9562D">
      <w:pPr>
        <w:keepNext w:val="0"/>
        <w:keepLines w:val="0"/>
        <w:pageBreakBefore w:val="0"/>
        <w:widowControl w:val="0"/>
        <w:kinsoku/>
        <w:wordWrap/>
        <w:overflowPunct/>
        <w:topLinePunct w:val="0"/>
        <w:autoSpaceDE/>
        <w:autoSpaceDN/>
        <w:bidi w:val="0"/>
        <w:adjustRightInd/>
        <w:snapToGrid w:val="0"/>
        <w:spacing w:line="560" w:lineRule="exact"/>
        <w:ind w:firstLine="560" w:firstLineChars="200"/>
        <w:jc w:val="left"/>
        <w:textAlignment w:val="auto"/>
        <w:rPr>
          <w:rFonts w:hint="eastAsia" w:ascii="黑体" w:hAnsi="黑体" w:eastAsia="黑体"/>
          <w:sz w:val="28"/>
          <w:szCs w:val="28"/>
        </w:rPr>
      </w:pPr>
      <w:r>
        <w:rPr>
          <w:rFonts w:hint="eastAsia" w:ascii="黑体" w:hAnsi="黑体" w:eastAsia="黑体"/>
          <w:sz w:val="28"/>
          <w:szCs w:val="28"/>
          <w:lang w:eastAsia="zh-CN"/>
        </w:rPr>
        <w:t>四</w:t>
      </w:r>
      <w:r>
        <w:rPr>
          <w:rFonts w:hint="eastAsia" w:ascii="黑体" w:hAnsi="黑体" w:eastAsia="黑体"/>
          <w:sz w:val="28"/>
          <w:szCs w:val="28"/>
        </w:rPr>
        <w:t>、交易规则</w:t>
      </w:r>
    </w:p>
    <w:p w14:paraId="51AF2F04">
      <w:pPr>
        <w:keepNext w:val="0"/>
        <w:keepLines w:val="0"/>
        <w:pageBreakBefore w:val="0"/>
        <w:widowControl w:val="0"/>
        <w:kinsoku/>
        <w:wordWrap/>
        <w:overflowPunct/>
        <w:topLinePunct w:val="0"/>
        <w:autoSpaceDE/>
        <w:autoSpaceDN/>
        <w:bidi w:val="0"/>
        <w:adjustRightInd/>
        <w:snapToGrid w:val="0"/>
        <w:spacing w:line="560" w:lineRule="exact"/>
        <w:ind w:firstLine="560" w:firstLineChars="200"/>
        <w:jc w:val="left"/>
        <w:textAlignment w:val="auto"/>
        <w:rPr>
          <w:rFonts w:hint="eastAsia"/>
          <w:sz w:val="28"/>
          <w:szCs w:val="28"/>
        </w:rPr>
      </w:pPr>
      <w:r>
        <w:rPr>
          <w:rFonts w:hint="eastAsia"/>
          <w:sz w:val="28"/>
          <w:szCs w:val="28"/>
        </w:rPr>
        <w:t>本场交易时长20分钟，全流程共分为三个阶段：</w:t>
      </w:r>
    </w:p>
    <w:p w14:paraId="021EC61E">
      <w:pPr>
        <w:keepNext w:val="0"/>
        <w:keepLines w:val="0"/>
        <w:pageBreakBefore w:val="0"/>
        <w:widowControl w:val="0"/>
        <w:kinsoku/>
        <w:wordWrap/>
        <w:overflowPunct/>
        <w:topLinePunct w:val="0"/>
        <w:autoSpaceDE/>
        <w:autoSpaceDN/>
        <w:bidi w:val="0"/>
        <w:adjustRightInd/>
        <w:snapToGrid w:val="0"/>
        <w:spacing w:line="560" w:lineRule="exact"/>
        <w:ind w:firstLine="560" w:firstLineChars="200"/>
        <w:jc w:val="left"/>
        <w:textAlignment w:val="auto"/>
        <w:rPr>
          <w:rFonts w:hint="eastAsia"/>
          <w:sz w:val="28"/>
          <w:szCs w:val="28"/>
        </w:rPr>
      </w:pPr>
      <w:r>
        <w:rPr>
          <w:rFonts w:hint="eastAsia"/>
          <w:sz w:val="28"/>
          <w:szCs w:val="28"/>
        </w:rPr>
        <w:t>1．第一轮竞价（前10分钟）：客户共同参与竞价，第一轮竞价结束后，以每个标的最高报价作为该阶段对应标的的最终竞拍价格。若该阶段所有标的均无人报价，则当场次流拍，反之进入第二阶段。第一轮竞价中未出价客户，无第二轮报价资格。</w:t>
      </w:r>
    </w:p>
    <w:p w14:paraId="35EA4406">
      <w:pPr>
        <w:keepNext w:val="0"/>
        <w:keepLines w:val="0"/>
        <w:pageBreakBefore w:val="0"/>
        <w:widowControl w:val="0"/>
        <w:kinsoku/>
        <w:wordWrap/>
        <w:overflowPunct/>
        <w:topLinePunct w:val="0"/>
        <w:autoSpaceDE/>
        <w:autoSpaceDN/>
        <w:bidi w:val="0"/>
        <w:adjustRightInd/>
        <w:snapToGrid w:val="0"/>
        <w:spacing w:line="560" w:lineRule="exact"/>
        <w:ind w:firstLine="560" w:firstLineChars="200"/>
        <w:jc w:val="left"/>
        <w:textAlignment w:val="auto"/>
        <w:rPr>
          <w:rFonts w:hint="eastAsia"/>
          <w:sz w:val="28"/>
          <w:szCs w:val="28"/>
        </w:rPr>
      </w:pPr>
      <w:r>
        <w:rPr>
          <w:rFonts w:hint="eastAsia"/>
          <w:sz w:val="28"/>
          <w:szCs w:val="28"/>
        </w:rPr>
        <w:t>2．冷静期（中间5分钟）：对每位客户展示当场次第一轮竞价中所有标的的最终竞拍价格（即第二轮起报价），客户进行第二轮报价规则确认。</w:t>
      </w:r>
    </w:p>
    <w:p w14:paraId="43CFBB41">
      <w:pPr>
        <w:keepNext w:val="0"/>
        <w:keepLines w:val="0"/>
        <w:pageBreakBefore w:val="0"/>
        <w:widowControl w:val="0"/>
        <w:kinsoku/>
        <w:wordWrap/>
        <w:overflowPunct/>
        <w:topLinePunct w:val="0"/>
        <w:autoSpaceDE/>
        <w:autoSpaceDN/>
        <w:bidi w:val="0"/>
        <w:adjustRightInd/>
        <w:snapToGrid w:val="0"/>
        <w:spacing w:line="560" w:lineRule="exact"/>
        <w:ind w:firstLine="560" w:firstLineChars="200"/>
        <w:jc w:val="left"/>
        <w:textAlignment w:val="auto"/>
        <w:rPr>
          <w:rFonts w:hint="eastAsia"/>
          <w:sz w:val="28"/>
          <w:szCs w:val="28"/>
        </w:rPr>
      </w:pPr>
      <w:r>
        <w:rPr>
          <w:rFonts w:hint="eastAsia"/>
          <w:sz w:val="28"/>
          <w:szCs w:val="28"/>
        </w:rPr>
        <w:t>3．第二轮报价（最后5分钟）：在第一轮竞价中对任一标的出价成功的客户，均可对第二轮报价中的每个标的报价。客户需在第一轮最终价基础上向上报价且每个标的仅有一次报价机会，过程中所报价格仅自己可见（其余任何人员包含后台技术人员均无法查看价格），报价不设上限（国家另有规定除外）。第二轮报价结束后，公示所有标的报价结果。最终成交价格遵循“价格优先、时间优先”的原则，每个标的为价高者得，若同一标的出现相同报价，则先报价者得。第二轮无人报价的标的，则以第一轮最终价成交。</w:t>
      </w:r>
    </w:p>
    <w:p w14:paraId="62FDD4FE">
      <w:pPr>
        <w:keepNext w:val="0"/>
        <w:keepLines w:val="0"/>
        <w:pageBreakBefore w:val="0"/>
        <w:widowControl w:val="0"/>
        <w:kinsoku/>
        <w:wordWrap/>
        <w:overflowPunct/>
        <w:topLinePunct w:val="0"/>
        <w:autoSpaceDE/>
        <w:autoSpaceDN/>
        <w:bidi w:val="0"/>
        <w:adjustRightInd/>
        <w:snapToGrid w:val="0"/>
        <w:spacing w:line="560" w:lineRule="exact"/>
        <w:ind w:firstLine="560" w:firstLineChars="200"/>
        <w:jc w:val="left"/>
        <w:textAlignment w:val="auto"/>
        <w:rPr>
          <w:rFonts w:hint="eastAsia" w:ascii="黑体" w:hAnsi="黑体" w:eastAsia="黑体" w:cs="黑体"/>
          <w:b w:val="0"/>
          <w:bCs w:val="0"/>
          <w:sz w:val="28"/>
          <w:szCs w:val="28"/>
        </w:rPr>
      </w:pPr>
      <w:r>
        <w:rPr>
          <w:rFonts w:hint="eastAsia" w:ascii="黑体" w:hAnsi="黑体" w:eastAsia="黑体" w:cs="黑体"/>
          <w:b w:val="0"/>
          <w:bCs w:val="0"/>
          <w:sz w:val="28"/>
          <w:szCs w:val="28"/>
        </w:rPr>
        <w:t>二轮报价补充信息：</w:t>
      </w:r>
    </w:p>
    <w:p w14:paraId="6952B0FA">
      <w:pPr>
        <w:keepNext w:val="0"/>
        <w:keepLines w:val="0"/>
        <w:pageBreakBefore w:val="0"/>
        <w:widowControl w:val="0"/>
        <w:kinsoku/>
        <w:wordWrap/>
        <w:overflowPunct/>
        <w:topLinePunct w:val="0"/>
        <w:autoSpaceDE/>
        <w:autoSpaceDN/>
        <w:bidi w:val="0"/>
        <w:adjustRightInd/>
        <w:snapToGrid w:val="0"/>
        <w:spacing w:line="560" w:lineRule="exact"/>
        <w:ind w:firstLine="560" w:firstLineChars="200"/>
        <w:jc w:val="left"/>
        <w:textAlignment w:val="auto"/>
        <w:rPr>
          <w:rFonts w:hint="eastAsia"/>
          <w:sz w:val="28"/>
          <w:szCs w:val="28"/>
        </w:rPr>
      </w:pPr>
      <w:r>
        <w:rPr>
          <w:rFonts w:hint="eastAsia"/>
          <w:sz w:val="28"/>
          <w:szCs w:val="28"/>
        </w:rPr>
        <w:t>1．二轮报价阶段，客户报价需高于一轮竞价的最新价；</w:t>
      </w:r>
    </w:p>
    <w:p w14:paraId="1C0686C7">
      <w:pPr>
        <w:keepNext w:val="0"/>
        <w:keepLines w:val="0"/>
        <w:pageBreakBefore w:val="0"/>
        <w:widowControl w:val="0"/>
        <w:kinsoku/>
        <w:wordWrap/>
        <w:overflowPunct/>
        <w:topLinePunct w:val="0"/>
        <w:autoSpaceDE/>
        <w:autoSpaceDN/>
        <w:bidi w:val="0"/>
        <w:adjustRightInd/>
        <w:snapToGrid w:val="0"/>
        <w:spacing w:line="560" w:lineRule="exact"/>
        <w:ind w:firstLine="560" w:firstLineChars="200"/>
        <w:jc w:val="left"/>
        <w:textAlignment w:val="auto"/>
        <w:rPr>
          <w:rFonts w:hint="eastAsia"/>
          <w:sz w:val="28"/>
          <w:szCs w:val="28"/>
        </w:rPr>
      </w:pPr>
      <w:r>
        <w:rPr>
          <w:rFonts w:hint="eastAsia"/>
          <w:sz w:val="28"/>
          <w:szCs w:val="28"/>
        </w:rPr>
        <w:t>2．二轮报价阶段，客户报价时，实时冻结交易保证金；</w:t>
      </w:r>
    </w:p>
    <w:p w14:paraId="30845EFB">
      <w:pPr>
        <w:keepNext w:val="0"/>
        <w:keepLines w:val="0"/>
        <w:pageBreakBefore w:val="0"/>
        <w:widowControl w:val="0"/>
        <w:kinsoku/>
        <w:wordWrap/>
        <w:overflowPunct/>
        <w:topLinePunct w:val="0"/>
        <w:autoSpaceDE/>
        <w:autoSpaceDN/>
        <w:bidi w:val="0"/>
        <w:adjustRightInd/>
        <w:snapToGrid w:val="0"/>
        <w:spacing w:line="560" w:lineRule="exact"/>
        <w:ind w:firstLine="560" w:firstLineChars="200"/>
        <w:jc w:val="left"/>
        <w:textAlignment w:val="auto"/>
        <w:rPr>
          <w:rFonts w:hint="eastAsia"/>
          <w:sz w:val="28"/>
          <w:szCs w:val="28"/>
        </w:rPr>
      </w:pPr>
      <w:r>
        <w:rPr>
          <w:rFonts w:hint="eastAsia"/>
          <w:sz w:val="28"/>
          <w:szCs w:val="28"/>
        </w:rPr>
        <w:t>3．二轮报价结束后，客户成交交易保证金转化为履约保证金，未成交客户释放保证金。</w:t>
      </w:r>
    </w:p>
    <w:p w14:paraId="61AF08D0">
      <w:pPr>
        <w:keepNext w:val="0"/>
        <w:keepLines w:val="0"/>
        <w:pageBreakBefore w:val="0"/>
        <w:widowControl w:val="0"/>
        <w:kinsoku/>
        <w:wordWrap/>
        <w:overflowPunct/>
        <w:topLinePunct w:val="0"/>
        <w:autoSpaceDE/>
        <w:autoSpaceDN/>
        <w:bidi w:val="0"/>
        <w:adjustRightInd/>
        <w:snapToGrid w:val="0"/>
        <w:spacing w:line="560" w:lineRule="exact"/>
        <w:ind w:firstLine="560" w:firstLineChars="200"/>
        <w:jc w:val="left"/>
        <w:textAlignment w:val="auto"/>
        <w:rPr>
          <w:sz w:val="28"/>
          <w:szCs w:val="28"/>
          <w:lang w:bidi="ar"/>
        </w:rPr>
      </w:pPr>
      <w:r>
        <w:rPr>
          <w:rFonts w:hint="eastAsia" w:ascii="黑体" w:hAnsi="黑体" w:eastAsia="黑体"/>
          <w:sz w:val="28"/>
          <w:szCs w:val="28"/>
          <w:lang w:eastAsia="zh-CN"/>
        </w:rPr>
        <w:t>五</w:t>
      </w:r>
      <w:r>
        <w:rPr>
          <w:rFonts w:hint="eastAsia" w:ascii="黑体" w:hAnsi="黑体" w:eastAsia="黑体"/>
          <w:sz w:val="28"/>
          <w:szCs w:val="28"/>
        </w:rPr>
        <w:t>、附加说明</w:t>
      </w:r>
    </w:p>
    <w:p w14:paraId="6C4E9C43">
      <w:pPr>
        <w:keepNext w:val="0"/>
        <w:keepLines w:val="0"/>
        <w:pageBreakBefore w:val="0"/>
        <w:widowControl w:val="0"/>
        <w:kinsoku/>
        <w:wordWrap/>
        <w:overflowPunct/>
        <w:topLinePunct w:val="0"/>
        <w:autoSpaceDE/>
        <w:autoSpaceDN/>
        <w:bidi w:val="0"/>
        <w:adjustRightInd/>
        <w:snapToGrid w:val="0"/>
        <w:spacing w:line="560" w:lineRule="exact"/>
        <w:ind w:firstLine="562" w:firstLineChars="200"/>
        <w:jc w:val="left"/>
        <w:textAlignment w:val="auto"/>
        <w:rPr>
          <w:rFonts w:hint="eastAsia"/>
          <w:b/>
          <w:bCs/>
          <w:color w:val="FF0000"/>
          <w:sz w:val="28"/>
          <w:szCs w:val="28"/>
        </w:rPr>
      </w:pPr>
      <w:r>
        <w:rPr>
          <w:rFonts w:hint="eastAsia"/>
          <w:b/>
          <w:bCs/>
          <w:color w:val="FF0000"/>
          <w:sz w:val="28"/>
          <w:szCs w:val="28"/>
        </w:rPr>
        <w:t>1.本次竞拍的煤炭购销合同签订、结算、税票开具、财务汇款等业务由秦岭数字公司代为办理。</w:t>
      </w:r>
    </w:p>
    <w:p w14:paraId="07B4B2BF">
      <w:pPr>
        <w:keepNext w:val="0"/>
        <w:keepLines w:val="0"/>
        <w:pageBreakBefore w:val="0"/>
        <w:widowControl w:val="0"/>
        <w:kinsoku/>
        <w:wordWrap/>
        <w:overflowPunct/>
        <w:topLinePunct w:val="0"/>
        <w:autoSpaceDE/>
        <w:autoSpaceDN/>
        <w:bidi w:val="0"/>
        <w:adjustRightInd/>
        <w:snapToGrid w:val="0"/>
        <w:spacing w:line="560" w:lineRule="exact"/>
        <w:ind w:firstLine="562" w:firstLineChars="200"/>
        <w:jc w:val="left"/>
        <w:textAlignment w:val="auto"/>
        <w:rPr>
          <w:rFonts w:hint="eastAsia"/>
          <w:b/>
          <w:bCs/>
          <w:color w:val="FF0000"/>
          <w:sz w:val="28"/>
          <w:szCs w:val="28"/>
        </w:rPr>
      </w:pPr>
      <w:r>
        <w:rPr>
          <w:rFonts w:hint="eastAsia"/>
          <w:b/>
          <w:bCs/>
          <w:color w:val="FF0000"/>
          <w:sz w:val="28"/>
          <w:szCs w:val="28"/>
        </w:rPr>
        <w:t>2.中标客户按照 “西煤交易”成交货品的成交单价和数量，向秦岭数字公司全额预付煤款和相应汽车运费。</w:t>
      </w:r>
    </w:p>
    <w:p w14:paraId="11774AC2">
      <w:pPr>
        <w:keepNext w:val="0"/>
        <w:keepLines w:val="0"/>
        <w:pageBreakBefore w:val="0"/>
        <w:widowControl w:val="0"/>
        <w:kinsoku/>
        <w:wordWrap/>
        <w:overflowPunct/>
        <w:topLinePunct w:val="0"/>
        <w:autoSpaceDE/>
        <w:autoSpaceDN/>
        <w:bidi w:val="0"/>
        <w:adjustRightInd/>
        <w:snapToGrid w:val="0"/>
        <w:spacing w:line="560" w:lineRule="exact"/>
        <w:ind w:firstLine="562" w:firstLineChars="200"/>
        <w:jc w:val="left"/>
        <w:textAlignment w:val="auto"/>
        <w:rPr>
          <w:rFonts w:hint="eastAsia"/>
          <w:sz w:val="28"/>
          <w:szCs w:val="28"/>
        </w:rPr>
      </w:pPr>
      <w:r>
        <w:rPr>
          <w:rFonts w:hint="eastAsia"/>
          <w:b/>
          <w:bCs/>
          <w:color w:val="FF0000"/>
          <w:sz w:val="28"/>
          <w:szCs w:val="28"/>
        </w:rPr>
        <w:t>3.拉运结束后，由秦岭数字公司与客户一票结算。</w:t>
      </w:r>
      <w:r>
        <w:rPr>
          <w:rFonts w:hint="eastAsia"/>
          <w:sz w:val="28"/>
          <w:szCs w:val="28"/>
        </w:rPr>
        <w:t xml:space="preserve">                             </w:t>
      </w:r>
    </w:p>
    <w:p w14:paraId="6C455AEA">
      <w:pPr>
        <w:keepNext w:val="0"/>
        <w:keepLines w:val="0"/>
        <w:pageBreakBefore w:val="0"/>
        <w:widowControl w:val="0"/>
        <w:kinsoku/>
        <w:wordWrap/>
        <w:overflowPunct/>
        <w:topLinePunct w:val="0"/>
        <w:autoSpaceDE/>
        <w:autoSpaceDN/>
        <w:bidi w:val="0"/>
        <w:adjustRightInd/>
        <w:snapToGrid w:val="0"/>
        <w:spacing w:line="560" w:lineRule="exact"/>
        <w:ind w:firstLine="560" w:firstLineChars="200"/>
        <w:jc w:val="left"/>
        <w:textAlignment w:val="auto"/>
        <w:rPr>
          <w:rFonts w:hint="eastAsia"/>
          <w:sz w:val="28"/>
          <w:szCs w:val="28"/>
        </w:rPr>
      </w:pPr>
      <w:r>
        <w:rPr>
          <w:rFonts w:hint="eastAsia"/>
          <w:sz w:val="28"/>
          <w:szCs w:val="28"/>
        </w:rPr>
        <w:t>4.客户必须在网银付款时备注以下信息：（1）矿别、品种名称；（2）煤款金额；（3）运费金额。（4）对应合同名称、编号。</w:t>
      </w:r>
    </w:p>
    <w:p w14:paraId="0651AA50">
      <w:pPr>
        <w:keepNext w:val="0"/>
        <w:keepLines w:val="0"/>
        <w:pageBreakBefore w:val="0"/>
        <w:widowControl w:val="0"/>
        <w:kinsoku/>
        <w:wordWrap/>
        <w:overflowPunct/>
        <w:topLinePunct w:val="0"/>
        <w:autoSpaceDE/>
        <w:autoSpaceDN/>
        <w:bidi w:val="0"/>
        <w:adjustRightInd/>
        <w:snapToGrid w:val="0"/>
        <w:spacing w:line="560" w:lineRule="exact"/>
        <w:ind w:firstLine="560" w:firstLineChars="200"/>
        <w:jc w:val="left"/>
        <w:textAlignment w:val="auto"/>
        <w:rPr>
          <w:rFonts w:hint="eastAsia"/>
          <w:sz w:val="28"/>
          <w:szCs w:val="28"/>
        </w:rPr>
      </w:pPr>
      <w:r>
        <w:rPr>
          <w:rFonts w:hint="eastAsia"/>
          <w:sz w:val="28"/>
          <w:szCs w:val="28"/>
          <w:lang w:val="en-US" w:eastAsia="zh-CN"/>
        </w:rPr>
        <w:t>5</w:t>
      </w:r>
      <w:r>
        <w:rPr>
          <w:rFonts w:hint="eastAsia"/>
          <w:sz w:val="28"/>
          <w:szCs w:val="28"/>
        </w:rPr>
        <w:t>.年度内第一次中标客户，中标后请先联系</w:t>
      </w:r>
      <w:r>
        <w:rPr>
          <w:rFonts w:hint="eastAsia"/>
          <w:sz w:val="28"/>
          <w:szCs w:val="28"/>
          <w:lang w:val="en-US" w:eastAsia="zh-CN"/>
        </w:rPr>
        <w:t>蒲白分</w:t>
      </w:r>
      <w:r>
        <w:rPr>
          <w:rFonts w:hint="eastAsia"/>
          <w:sz w:val="28"/>
          <w:szCs w:val="28"/>
        </w:rPr>
        <w:t>公司签订合同，联系人：</w:t>
      </w:r>
      <w:r>
        <w:rPr>
          <w:rFonts w:hint="eastAsia"/>
          <w:sz w:val="28"/>
          <w:szCs w:val="28"/>
          <w:lang w:val="en-US" w:eastAsia="zh-CN"/>
        </w:rPr>
        <w:t>任卓越13201735297</w:t>
      </w:r>
      <w:r>
        <w:rPr>
          <w:rFonts w:hint="eastAsia"/>
          <w:sz w:val="28"/>
          <w:szCs w:val="28"/>
        </w:rPr>
        <w:t xml:space="preserve">。  </w:t>
      </w:r>
    </w:p>
    <w:p w14:paraId="3373F336">
      <w:pPr>
        <w:keepNext w:val="0"/>
        <w:keepLines w:val="0"/>
        <w:pageBreakBefore w:val="0"/>
        <w:widowControl w:val="0"/>
        <w:kinsoku/>
        <w:wordWrap/>
        <w:overflowPunct/>
        <w:topLinePunct w:val="0"/>
        <w:autoSpaceDE/>
        <w:autoSpaceDN/>
        <w:bidi w:val="0"/>
        <w:adjustRightInd/>
        <w:snapToGrid w:val="0"/>
        <w:spacing w:line="560" w:lineRule="exact"/>
        <w:ind w:firstLine="560" w:firstLineChars="200"/>
        <w:jc w:val="left"/>
        <w:textAlignment w:val="auto"/>
        <w:rPr>
          <w:rFonts w:hint="eastAsia" w:ascii="黑体" w:hAnsi="黑体" w:eastAsia="黑体"/>
          <w:sz w:val="28"/>
          <w:szCs w:val="28"/>
          <w:lang w:eastAsia="zh-CN"/>
        </w:rPr>
      </w:pPr>
      <w:r>
        <w:rPr>
          <w:rFonts w:hint="eastAsia" w:ascii="黑体" w:hAnsi="黑体" w:eastAsia="黑体"/>
          <w:sz w:val="28"/>
          <w:szCs w:val="28"/>
        </w:rPr>
        <w:t>六、</w:t>
      </w:r>
      <w:r>
        <w:rPr>
          <w:rFonts w:hint="eastAsia" w:ascii="黑体" w:hAnsi="黑体" w:eastAsia="黑体"/>
          <w:sz w:val="28"/>
          <w:szCs w:val="28"/>
          <w:lang w:eastAsia="zh-CN"/>
        </w:rPr>
        <w:t>违约处置</w:t>
      </w:r>
    </w:p>
    <w:p w14:paraId="684D7524">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left"/>
        <w:textAlignment w:val="auto"/>
        <w:rPr>
          <w:rFonts w:hint="eastAsia" w:ascii="仿宋" w:hAnsi="仿宋" w:eastAsia="仿宋" w:cs="仿宋_GB2312"/>
          <w:sz w:val="28"/>
          <w:szCs w:val="28"/>
        </w:rPr>
      </w:pPr>
      <w:r>
        <w:rPr>
          <w:rFonts w:hint="eastAsia" w:ascii="仿宋" w:hAnsi="仿宋" w:eastAsia="仿宋" w:cs="仿宋_GB2312"/>
          <w:sz w:val="28"/>
          <w:szCs w:val="28"/>
        </w:rPr>
        <w:t>具体违约</w:t>
      </w:r>
      <w:r>
        <w:rPr>
          <w:rFonts w:hint="eastAsia" w:cs="仿宋_GB2312"/>
          <w:sz w:val="28"/>
          <w:szCs w:val="28"/>
          <w:lang w:val="en-US" w:eastAsia="zh-CN"/>
        </w:rPr>
        <w:t>蒲白</w:t>
      </w:r>
      <w:r>
        <w:rPr>
          <w:rFonts w:hint="eastAsia" w:ascii="仿宋" w:hAnsi="仿宋" w:eastAsia="仿宋" w:cs="仿宋_GB2312"/>
          <w:sz w:val="28"/>
          <w:szCs w:val="28"/>
        </w:rPr>
        <w:t>分公司《客户网上交易违约处置办法》进行处罚公示，处罚细则如下：</w:t>
      </w:r>
    </w:p>
    <w:p w14:paraId="7FE8B4E8">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left"/>
        <w:textAlignment w:val="auto"/>
        <w:rPr>
          <w:rFonts w:hint="eastAsia" w:ascii="仿宋" w:hAnsi="仿宋" w:eastAsia="仿宋" w:cs="仿宋_GB2312"/>
          <w:sz w:val="28"/>
          <w:szCs w:val="28"/>
        </w:rPr>
      </w:pPr>
      <w:r>
        <w:rPr>
          <w:rFonts w:hint="eastAsia" w:ascii="仿宋" w:hAnsi="仿宋" w:eastAsia="仿宋" w:cs="仿宋_GB2312"/>
          <w:sz w:val="28"/>
          <w:szCs w:val="28"/>
        </w:rPr>
        <w:t>对除不可抗力因素外，兑现率未达90%的合同视为违约，违约处理方式包括扣缴违约金、暂停交易和网络销售平台公示等通告，违约情况计入不良履约记录，应用于客户评级。具体违约处理细则如下：</w:t>
      </w:r>
    </w:p>
    <w:p w14:paraId="23A01D27">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left"/>
        <w:textAlignment w:val="auto"/>
        <w:rPr>
          <w:rFonts w:hint="eastAsia" w:ascii="仿宋" w:hAnsi="仿宋" w:eastAsia="仿宋" w:cs="仿宋_GB2312"/>
          <w:sz w:val="28"/>
          <w:szCs w:val="28"/>
        </w:rPr>
      </w:pPr>
      <w:r>
        <w:rPr>
          <w:rFonts w:hint="eastAsia" w:ascii="仿宋" w:hAnsi="仿宋" w:eastAsia="仿宋" w:cs="仿宋_GB2312"/>
          <w:sz w:val="28"/>
          <w:szCs w:val="28"/>
        </w:rPr>
        <w:t>1.单包成交量≤0.5万吨执行:</w:t>
      </w:r>
    </w:p>
    <w:p w14:paraId="65AB1926">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left"/>
        <w:textAlignment w:val="auto"/>
        <w:rPr>
          <w:rFonts w:hint="eastAsia" w:ascii="仿宋" w:hAnsi="仿宋" w:eastAsia="仿宋" w:cs="仿宋_GB2312"/>
          <w:sz w:val="28"/>
          <w:szCs w:val="28"/>
        </w:rPr>
      </w:pPr>
      <w:r>
        <w:rPr>
          <w:rFonts w:hint="eastAsia" w:ascii="仿宋" w:hAnsi="仿宋" w:eastAsia="仿宋" w:cs="仿宋_GB2312"/>
          <w:sz w:val="28"/>
          <w:szCs w:val="28"/>
        </w:rPr>
        <w:t xml:space="preserve">扣缴违约金=单包成交量*(90%-实际拉运兑现率)*20元/吨；零兑现扣除10万。 </w:t>
      </w:r>
    </w:p>
    <w:p w14:paraId="19581779">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left"/>
        <w:textAlignment w:val="auto"/>
        <w:rPr>
          <w:rFonts w:hint="eastAsia" w:ascii="仿宋" w:hAnsi="仿宋" w:eastAsia="仿宋" w:cs="仿宋_GB2312"/>
          <w:sz w:val="28"/>
          <w:szCs w:val="28"/>
        </w:rPr>
      </w:pPr>
      <w:r>
        <w:rPr>
          <w:rFonts w:hint="eastAsia" w:ascii="仿宋" w:hAnsi="仿宋" w:eastAsia="仿宋" w:cs="仿宋_GB2312"/>
          <w:sz w:val="28"/>
          <w:szCs w:val="28"/>
        </w:rPr>
        <w:t>2.单包成交量＞0.5万吨执行：</w:t>
      </w:r>
    </w:p>
    <w:p w14:paraId="1BE3944E">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left"/>
        <w:textAlignment w:val="auto"/>
        <w:rPr>
          <w:rFonts w:hint="eastAsia" w:ascii="仿宋" w:hAnsi="仿宋" w:eastAsia="仿宋" w:cs="仿宋_GB2312"/>
          <w:sz w:val="28"/>
          <w:szCs w:val="28"/>
        </w:rPr>
      </w:pPr>
      <w:r>
        <w:rPr>
          <w:rFonts w:hint="eastAsia" w:ascii="仿宋" w:hAnsi="仿宋" w:eastAsia="仿宋" w:cs="仿宋_GB2312"/>
          <w:sz w:val="28"/>
          <w:szCs w:val="28"/>
        </w:rPr>
        <w:t>兑现率0%~50%:扣缴违约金=10万+10万*(90%-实际拉运兑现率)；</w:t>
      </w:r>
    </w:p>
    <w:p w14:paraId="27D366EA">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left"/>
        <w:textAlignment w:val="auto"/>
        <w:rPr>
          <w:rFonts w:hint="eastAsia" w:ascii="仿宋" w:hAnsi="仿宋" w:eastAsia="仿宋" w:cs="仿宋_GB2312"/>
          <w:sz w:val="28"/>
          <w:szCs w:val="28"/>
        </w:rPr>
      </w:pPr>
      <w:r>
        <w:rPr>
          <w:rFonts w:hint="eastAsia" w:ascii="仿宋" w:hAnsi="仿宋" w:eastAsia="仿宋" w:cs="仿宋_GB2312"/>
          <w:sz w:val="28"/>
          <w:szCs w:val="28"/>
        </w:rPr>
        <w:t>兑现率＞50%:扣缴违约金=单包成交量*(90%-实际拉运兑现率)*20元/吨；</w:t>
      </w:r>
    </w:p>
    <w:p w14:paraId="7C97EC22">
      <w:pPr>
        <w:keepNext w:val="0"/>
        <w:keepLines w:val="0"/>
        <w:pageBreakBefore w:val="0"/>
        <w:widowControl w:val="0"/>
        <w:kinsoku/>
        <w:wordWrap/>
        <w:overflowPunct/>
        <w:topLinePunct w:val="0"/>
        <w:autoSpaceDE/>
        <w:autoSpaceDN/>
        <w:bidi w:val="0"/>
        <w:adjustRightInd/>
        <w:snapToGrid w:val="0"/>
        <w:spacing w:line="560" w:lineRule="exact"/>
        <w:ind w:firstLine="560" w:firstLineChars="200"/>
        <w:jc w:val="left"/>
        <w:textAlignment w:val="auto"/>
        <w:rPr>
          <w:rFonts w:hint="eastAsia" w:ascii="黑体" w:hAnsi="黑体" w:eastAsia="黑体"/>
          <w:sz w:val="28"/>
          <w:szCs w:val="28"/>
          <w:lang w:val="en-US" w:eastAsia="zh-CN"/>
        </w:rPr>
      </w:pPr>
      <w:r>
        <w:rPr>
          <w:rFonts w:hint="eastAsia" w:ascii="黑体" w:hAnsi="黑体" w:eastAsia="黑体"/>
          <w:sz w:val="28"/>
          <w:szCs w:val="28"/>
          <w:lang w:val="en-US" w:eastAsia="zh-CN"/>
        </w:rPr>
        <w:t>七、其它说明</w:t>
      </w:r>
    </w:p>
    <w:p w14:paraId="235FFC06">
      <w:pPr>
        <w:keepNext w:val="0"/>
        <w:keepLines w:val="0"/>
        <w:pageBreakBefore w:val="0"/>
        <w:widowControl w:val="0"/>
        <w:kinsoku/>
        <w:wordWrap/>
        <w:overflowPunct/>
        <w:topLinePunct w:val="0"/>
        <w:autoSpaceDE/>
        <w:autoSpaceDN/>
        <w:bidi w:val="0"/>
        <w:adjustRightInd/>
        <w:snapToGrid/>
        <w:spacing w:line="560" w:lineRule="exact"/>
        <w:ind w:firstLine="600" w:firstLineChars="200"/>
        <w:jc w:val="left"/>
        <w:textAlignment w:val="auto"/>
        <w:rPr>
          <w:rFonts w:hint="eastAsia" w:cs="仿宋"/>
          <w:sz w:val="30"/>
          <w:szCs w:val="30"/>
          <w:lang w:val="en-US" w:eastAsia="zh-CN"/>
        </w:rPr>
      </w:pPr>
      <w:r>
        <w:rPr>
          <w:rFonts w:hint="eastAsia" w:cs="仿宋"/>
          <w:sz w:val="30"/>
          <w:szCs w:val="30"/>
          <w:lang w:val="en-US" w:eastAsia="zh-CN"/>
        </w:rPr>
        <w:t>1.本次竞拍客户可以根据需求自行溢价，最终成交价格即为执行价格。</w:t>
      </w:r>
    </w:p>
    <w:p w14:paraId="55B094BF">
      <w:pPr>
        <w:keepNext w:val="0"/>
        <w:keepLines w:val="0"/>
        <w:pageBreakBefore w:val="0"/>
        <w:widowControl w:val="0"/>
        <w:kinsoku/>
        <w:wordWrap/>
        <w:overflowPunct/>
        <w:topLinePunct w:val="0"/>
        <w:autoSpaceDE/>
        <w:autoSpaceDN/>
        <w:bidi w:val="0"/>
        <w:adjustRightInd/>
        <w:snapToGrid/>
        <w:spacing w:line="560" w:lineRule="exact"/>
        <w:ind w:firstLine="600" w:firstLineChars="200"/>
        <w:jc w:val="left"/>
        <w:textAlignment w:val="auto"/>
        <w:rPr>
          <w:rFonts w:hint="eastAsia" w:cs="仿宋"/>
          <w:sz w:val="30"/>
          <w:szCs w:val="30"/>
          <w:lang w:val="en-US" w:eastAsia="zh-CN"/>
        </w:rPr>
      </w:pPr>
      <w:r>
        <w:rPr>
          <w:rFonts w:hint="eastAsia" w:cs="仿宋"/>
          <w:sz w:val="30"/>
          <w:szCs w:val="30"/>
          <w:lang w:val="en-US" w:eastAsia="zh-CN"/>
        </w:rPr>
        <w:t>2.交割兑现说明（以实际签订煤炭销售合同的主要条款为主）：</w:t>
      </w:r>
    </w:p>
    <w:p w14:paraId="2F7FCEB1">
      <w:pPr>
        <w:keepNext w:val="0"/>
        <w:keepLines w:val="0"/>
        <w:pageBreakBefore w:val="0"/>
        <w:widowControl w:val="0"/>
        <w:kinsoku/>
        <w:wordWrap/>
        <w:overflowPunct/>
        <w:topLinePunct w:val="0"/>
        <w:autoSpaceDE/>
        <w:autoSpaceDN/>
        <w:bidi w:val="0"/>
        <w:adjustRightInd/>
        <w:snapToGrid/>
        <w:spacing w:line="560" w:lineRule="exact"/>
        <w:ind w:firstLine="600" w:firstLineChars="200"/>
        <w:jc w:val="left"/>
        <w:textAlignment w:val="auto"/>
        <w:rPr>
          <w:rFonts w:hint="eastAsia" w:cs="仿宋"/>
          <w:sz w:val="30"/>
          <w:szCs w:val="30"/>
          <w:lang w:val="en-US" w:eastAsia="zh-CN"/>
        </w:rPr>
      </w:pPr>
      <w:r>
        <w:rPr>
          <w:rFonts w:hint="eastAsia" w:cs="仿宋"/>
          <w:sz w:val="30"/>
          <w:szCs w:val="30"/>
          <w:lang w:val="en-US" w:eastAsia="zh-CN"/>
        </w:rPr>
        <w:t>（1）报价为含税价，先款后货，全额现金。</w:t>
      </w:r>
    </w:p>
    <w:p w14:paraId="72D29CA1">
      <w:pPr>
        <w:keepNext w:val="0"/>
        <w:keepLines w:val="0"/>
        <w:pageBreakBefore w:val="0"/>
        <w:widowControl w:val="0"/>
        <w:kinsoku/>
        <w:wordWrap/>
        <w:overflowPunct/>
        <w:topLinePunct w:val="0"/>
        <w:autoSpaceDE/>
        <w:autoSpaceDN/>
        <w:bidi w:val="0"/>
        <w:adjustRightInd/>
        <w:snapToGrid/>
        <w:spacing w:line="560" w:lineRule="exact"/>
        <w:ind w:firstLine="600" w:firstLineChars="200"/>
        <w:jc w:val="left"/>
        <w:textAlignment w:val="auto"/>
        <w:rPr>
          <w:rFonts w:hint="eastAsia" w:cs="仿宋"/>
          <w:sz w:val="30"/>
          <w:szCs w:val="30"/>
          <w:lang w:val="en-US" w:eastAsia="zh-CN"/>
        </w:rPr>
      </w:pPr>
      <w:r>
        <w:rPr>
          <w:rFonts w:hint="eastAsia" w:cs="仿宋"/>
          <w:sz w:val="30"/>
          <w:szCs w:val="30"/>
          <w:lang w:val="en-US" w:eastAsia="zh-CN"/>
        </w:rPr>
        <w:t>（2）在竞拍之前客户应对矿方拉运环境、道路通行状况、地矿关系等提前进行调研，如因对上述情况不了解而造成不能如期兑现完成的情况，责任由客户自行承担；</w:t>
      </w:r>
    </w:p>
    <w:p w14:paraId="4C5224C6">
      <w:pPr>
        <w:keepNext w:val="0"/>
        <w:keepLines w:val="0"/>
        <w:pageBreakBefore w:val="0"/>
        <w:widowControl w:val="0"/>
        <w:kinsoku/>
        <w:wordWrap/>
        <w:overflowPunct/>
        <w:topLinePunct w:val="0"/>
        <w:autoSpaceDE/>
        <w:autoSpaceDN/>
        <w:bidi w:val="0"/>
        <w:adjustRightInd/>
        <w:snapToGrid/>
        <w:spacing w:line="560" w:lineRule="exact"/>
        <w:ind w:firstLine="600" w:firstLineChars="200"/>
        <w:jc w:val="left"/>
        <w:textAlignment w:val="auto"/>
        <w:rPr>
          <w:rFonts w:hint="eastAsia" w:cs="仿宋"/>
          <w:sz w:val="30"/>
          <w:szCs w:val="30"/>
          <w:lang w:val="en-US" w:eastAsia="zh-CN"/>
        </w:rPr>
      </w:pPr>
      <w:r>
        <w:rPr>
          <w:rFonts w:hint="eastAsia" w:cs="仿宋"/>
          <w:sz w:val="30"/>
          <w:szCs w:val="30"/>
          <w:lang w:val="en-US" w:eastAsia="zh-CN"/>
        </w:rPr>
        <w:t>3.中标客户必须当天打款办理调拨单，中标当天未办理调拨单的客户，后期不予补量。</w:t>
      </w:r>
    </w:p>
    <w:p w14:paraId="7FFF80A9">
      <w:pPr>
        <w:keepNext w:val="0"/>
        <w:keepLines w:val="0"/>
        <w:pageBreakBefore w:val="0"/>
        <w:widowControl w:val="0"/>
        <w:kinsoku/>
        <w:wordWrap/>
        <w:overflowPunct/>
        <w:topLinePunct w:val="0"/>
        <w:autoSpaceDE/>
        <w:autoSpaceDN/>
        <w:bidi w:val="0"/>
        <w:adjustRightInd/>
        <w:snapToGrid/>
        <w:spacing w:line="560" w:lineRule="exact"/>
        <w:ind w:firstLine="600" w:firstLineChars="200"/>
        <w:jc w:val="left"/>
        <w:textAlignment w:val="auto"/>
        <w:rPr>
          <w:rFonts w:hint="eastAsia" w:cs="仿宋"/>
          <w:sz w:val="30"/>
          <w:szCs w:val="30"/>
          <w:lang w:val="en-US" w:eastAsia="zh-CN"/>
        </w:rPr>
      </w:pPr>
      <w:r>
        <w:rPr>
          <w:rFonts w:hint="eastAsia" w:cs="仿宋"/>
          <w:sz w:val="30"/>
          <w:szCs w:val="30"/>
          <w:lang w:val="en-US" w:eastAsia="zh-CN"/>
        </w:rPr>
        <w:t>4.结算价格以竞拍成交价作为煤炭结算基础价，结合陕煤运销集团蒲白分公司质价挂钩考核后出具的结算明细为准。</w:t>
      </w:r>
    </w:p>
    <w:p w14:paraId="140B57F9">
      <w:pPr>
        <w:keepNext w:val="0"/>
        <w:keepLines w:val="0"/>
        <w:pageBreakBefore w:val="0"/>
        <w:widowControl w:val="0"/>
        <w:kinsoku/>
        <w:wordWrap/>
        <w:overflowPunct/>
        <w:topLinePunct w:val="0"/>
        <w:autoSpaceDE/>
        <w:autoSpaceDN/>
        <w:bidi w:val="0"/>
        <w:adjustRightInd/>
        <w:snapToGrid/>
        <w:spacing w:line="560" w:lineRule="exact"/>
        <w:ind w:firstLine="600" w:firstLineChars="200"/>
        <w:jc w:val="left"/>
        <w:textAlignment w:val="auto"/>
        <w:rPr>
          <w:rFonts w:hint="default" w:cs="仿宋"/>
          <w:sz w:val="30"/>
          <w:szCs w:val="30"/>
          <w:lang w:val="en-US" w:eastAsia="zh-CN"/>
        </w:rPr>
      </w:pPr>
      <w:r>
        <w:rPr>
          <w:rFonts w:hint="eastAsia" w:cs="仿宋"/>
          <w:sz w:val="30"/>
          <w:szCs w:val="30"/>
          <w:lang w:val="en-US" w:eastAsia="zh-CN"/>
        </w:rPr>
        <w:t>5.其他相关要求声明：如遇市场和煤质变化，需要调整价格时，该批次执行时间以陕煤运销蒲白分公司通知的执行时间为准，不同意价格调整意见的用户应以书面形式向陕煤运销蒲白分公司提出申请，待陕煤运销蒲白分公司审核通过后方可申请退款。</w:t>
      </w:r>
    </w:p>
    <w:p w14:paraId="53DB65D4">
      <w:pPr>
        <w:keepNext w:val="0"/>
        <w:keepLines w:val="0"/>
        <w:pageBreakBefore w:val="0"/>
        <w:widowControl w:val="0"/>
        <w:kinsoku/>
        <w:wordWrap/>
        <w:overflowPunct/>
        <w:topLinePunct w:val="0"/>
        <w:autoSpaceDE/>
        <w:autoSpaceDN/>
        <w:bidi w:val="0"/>
        <w:adjustRightInd/>
        <w:snapToGrid w:val="0"/>
        <w:spacing w:line="560" w:lineRule="exact"/>
        <w:ind w:firstLine="560" w:firstLineChars="200"/>
        <w:jc w:val="left"/>
        <w:textAlignment w:val="auto"/>
        <w:rPr>
          <w:rFonts w:ascii="黑体" w:hAnsi="黑体" w:eastAsia="黑体"/>
          <w:sz w:val="28"/>
          <w:szCs w:val="28"/>
        </w:rPr>
      </w:pPr>
      <w:r>
        <w:rPr>
          <w:rFonts w:hint="eastAsia" w:ascii="黑体" w:hAnsi="黑体" w:eastAsia="黑体"/>
          <w:sz w:val="28"/>
          <w:szCs w:val="28"/>
          <w:lang w:val="en-US" w:eastAsia="zh-CN"/>
        </w:rPr>
        <w:t>八</w:t>
      </w:r>
      <w:r>
        <w:rPr>
          <w:rFonts w:hint="eastAsia" w:ascii="黑体" w:hAnsi="黑体" w:eastAsia="黑体"/>
          <w:sz w:val="28"/>
          <w:szCs w:val="28"/>
        </w:rPr>
        <w:t>、联系方式</w:t>
      </w:r>
    </w:p>
    <w:p w14:paraId="306636D6">
      <w:pPr>
        <w:keepNext w:val="0"/>
        <w:keepLines w:val="0"/>
        <w:pageBreakBefore w:val="0"/>
        <w:widowControl w:val="0"/>
        <w:kinsoku/>
        <w:wordWrap/>
        <w:overflowPunct/>
        <w:topLinePunct w:val="0"/>
        <w:autoSpaceDE/>
        <w:autoSpaceDN/>
        <w:bidi w:val="0"/>
        <w:adjustRightInd/>
        <w:snapToGrid w:val="0"/>
        <w:spacing w:line="560" w:lineRule="exact"/>
        <w:ind w:firstLine="560" w:firstLineChars="200"/>
        <w:jc w:val="left"/>
        <w:textAlignment w:val="auto"/>
        <w:rPr>
          <w:rFonts w:hint="default" w:eastAsia="仿宋"/>
          <w:sz w:val="28"/>
          <w:szCs w:val="28"/>
          <w:lang w:val="en-US" w:eastAsia="zh-CN"/>
        </w:rPr>
      </w:pPr>
      <w:r>
        <w:rPr>
          <w:rFonts w:hint="eastAsia"/>
          <w:sz w:val="28"/>
          <w:szCs w:val="28"/>
          <w:lang w:val="en-US" w:eastAsia="zh-CN"/>
        </w:rPr>
        <w:t>蒲白</w:t>
      </w:r>
      <w:r>
        <w:rPr>
          <w:rFonts w:hint="eastAsia"/>
          <w:sz w:val="28"/>
          <w:szCs w:val="28"/>
        </w:rPr>
        <w:t>公司：</w:t>
      </w:r>
      <w:r>
        <w:rPr>
          <w:rFonts w:hint="eastAsia"/>
          <w:sz w:val="28"/>
          <w:szCs w:val="28"/>
          <w:lang w:val="en-US" w:eastAsia="zh-CN"/>
        </w:rPr>
        <w:t>冷霜18628687747</w:t>
      </w:r>
    </w:p>
    <w:p w14:paraId="6D1021F1">
      <w:pPr>
        <w:keepNext w:val="0"/>
        <w:keepLines w:val="0"/>
        <w:pageBreakBefore w:val="0"/>
        <w:widowControl w:val="0"/>
        <w:kinsoku/>
        <w:wordWrap/>
        <w:overflowPunct/>
        <w:topLinePunct w:val="0"/>
        <w:autoSpaceDE/>
        <w:autoSpaceDN/>
        <w:bidi w:val="0"/>
        <w:adjustRightInd/>
        <w:snapToGrid w:val="0"/>
        <w:spacing w:line="560" w:lineRule="exact"/>
        <w:ind w:firstLine="560" w:firstLineChars="200"/>
        <w:jc w:val="left"/>
        <w:textAlignment w:val="auto"/>
        <w:rPr>
          <w:rFonts w:hint="eastAsia"/>
          <w:sz w:val="28"/>
          <w:szCs w:val="28"/>
        </w:rPr>
      </w:pPr>
      <w:r>
        <w:rPr>
          <w:rFonts w:hint="eastAsia"/>
          <w:sz w:val="28"/>
          <w:szCs w:val="28"/>
        </w:rPr>
        <w:t>交易中心：400-029-9791</w:t>
      </w:r>
    </w:p>
    <w:sectPr>
      <w:pgSz w:w="11906" w:h="16838"/>
      <w:pgMar w:top="720" w:right="720" w:bottom="720" w:left="72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ind w:firstLine="240"/>
      </w:pPr>
      <w:r>
        <w:separator/>
      </w:r>
    </w:p>
  </w:endnote>
  <w:endnote w:type="continuationSeparator" w:id="1">
    <w:p>
      <w:pPr>
        <w:ind w:firstLine="2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FBA46306-6D44-4DB2-A80D-35A5C500B8D1}"/>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embedRegular r:id="rId2" w:fontKey="{F6B7A476-C660-44BB-9998-7B13745AA380}"/>
  </w:font>
  <w:font w:name="方正仿宋_GB2312">
    <w:panose1 w:val="02000000000000000000"/>
    <w:charset w:val="86"/>
    <w:family w:val="auto"/>
    <w:pitch w:val="default"/>
    <w:sig w:usb0="A00002BF" w:usb1="184F6CFA" w:usb2="00000012" w:usb3="00000000" w:csb0="00040001" w:csb1="00000000"/>
    <w:embedRegular r:id="rId3" w:fontKey="{8DD7860F-4445-4B85-8852-23155ACF21AE}"/>
  </w:font>
  <w:font w:name="仿宋_GB2312">
    <w:panose1 w:val="02010609030101010101"/>
    <w:charset w:val="86"/>
    <w:family w:val="modern"/>
    <w:pitch w:val="default"/>
    <w:sig w:usb0="00000001" w:usb1="080E0000" w:usb2="00000000" w:usb3="00000000" w:csb0="00040000" w:csb1="00000000"/>
    <w:embedRegular r:id="rId4" w:fontKey="{82D5C30B-4D96-45C4-9DE7-FE39DBADA815}"/>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ind w:firstLine="240"/>
      </w:pPr>
      <w:r>
        <w:separator/>
      </w:r>
    </w:p>
  </w:footnote>
  <w:footnote w:type="continuationSeparator" w:id="1">
    <w:p>
      <w:pPr>
        <w:ind w:firstLine="24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2"/>
  <w:embedTrueTypeFonts/>
  <w:saveSubsetFonts/>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UxNzU3ZmQyZDgyOTc3MTk1YmVkNDgwODcwOGQ5MGEifQ=="/>
  </w:docVars>
  <w:rsids>
    <w:rsidRoot w:val="00FD4CB6"/>
    <w:rsid w:val="000048E3"/>
    <w:rsid w:val="00017535"/>
    <w:rsid w:val="000322FA"/>
    <w:rsid w:val="00036732"/>
    <w:rsid w:val="00127AAA"/>
    <w:rsid w:val="001445E5"/>
    <w:rsid w:val="00242602"/>
    <w:rsid w:val="0028102E"/>
    <w:rsid w:val="002846E5"/>
    <w:rsid w:val="002A0CA9"/>
    <w:rsid w:val="00304754"/>
    <w:rsid w:val="00325E85"/>
    <w:rsid w:val="00347368"/>
    <w:rsid w:val="00383A04"/>
    <w:rsid w:val="003F6C3C"/>
    <w:rsid w:val="00441AC6"/>
    <w:rsid w:val="00453473"/>
    <w:rsid w:val="0046620D"/>
    <w:rsid w:val="005055EE"/>
    <w:rsid w:val="005E1A06"/>
    <w:rsid w:val="00671C49"/>
    <w:rsid w:val="007615FC"/>
    <w:rsid w:val="007D6856"/>
    <w:rsid w:val="007E60E6"/>
    <w:rsid w:val="008167FA"/>
    <w:rsid w:val="0083093E"/>
    <w:rsid w:val="0084217F"/>
    <w:rsid w:val="008C6BD5"/>
    <w:rsid w:val="00920A79"/>
    <w:rsid w:val="009549AB"/>
    <w:rsid w:val="0099102B"/>
    <w:rsid w:val="009A1C5F"/>
    <w:rsid w:val="009C323F"/>
    <w:rsid w:val="009C6ADF"/>
    <w:rsid w:val="009F0F7E"/>
    <w:rsid w:val="009F39A7"/>
    <w:rsid w:val="009F488F"/>
    <w:rsid w:val="00A36EF9"/>
    <w:rsid w:val="00B1267E"/>
    <w:rsid w:val="00B35BD2"/>
    <w:rsid w:val="00B55A77"/>
    <w:rsid w:val="00BF61B6"/>
    <w:rsid w:val="00C52A3B"/>
    <w:rsid w:val="00C95105"/>
    <w:rsid w:val="00CE5925"/>
    <w:rsid w:val="00D34269"/>
    <w:rsid w:val="00D40F96"/>
    <w:rsid w:val="00D42CBD"/>
    <w:rsid w:val="00D529CA"/>
    <w:rsid w:val="00D81966"/>
    <w:rsid w:val="00DD2779"/>
    <w:rsid w:val="00DE2F65"/>
    <w:rsid w:val="00E41459"/>
    <w:rsid w:val="00E57F30"/>
    <w:rsid w:val="00EA0370"/>
    <w:rsid w:val="00EB4B59"/>
    <w:rsid w:val="00EC36A4"/>
    <w:rsid w:val="00F23CE5"/>
    <w:rsid w:val="00F3618F"/>
    <w:rsid w:val="00F54745"/>
    <w:rsid w:val="00F61AE9"/>
    <w:rsid w:val="00F873D3"/>
    <w:rsid w:val="00FA40AF"/>
    <w:rsid w:val="00FC0BB7"/>
    <w:rsid w:val="00FC12A1"/>
    <w:rsid w:val="00FD1C4B"/>
    <w:rsid w:val="00FD4CB6"/>
    <w:rsid w:val="01317F69"/>
    <w:rsid w:val="01725663"/>
    <w:rsid w:val="01907368"/>
    <w:rsid w:val="01A91740"/>
    <w:rsid w:val="01E22E5C"/>
    <w:rsid w:val="02905698"/>
    <w:rsid w:val="02E000C6"/>
    <w:rsid w:val="038672CC"/>
    <w:rsid w:val="03C2759E"/>
    <w:rsid w:val="03C7181C"/>
    <w:rsid w:val="03CD2135"/>
    <w:rsid w:val="03DB67EC"/>
    <w:rsid w:val="043A5B2A"/>
    <w:rsid w:val="045C65BD"/>
    <w:rsid w:val="04BA6FE8"/>
    <w:rsid w:val="05C84905"/>
    <w:rsid w:val="05E41DB8"/>
    <w:rsid w:val="0614330B"/>
    <w:rsid w:val="063429DA"/>
    <w:rsid w:val="065F709A"/>
    <w:rsid w:val="06840C1E"/>
    <w:rsid w:val="06AE3E0A"/>
    <w:rsid w:val="06EF6D95"/>
    <w:rsid w:val="075116F4"/>
    <w:rsid w:val="07936CA2"/>
    <w:rsid w:val="07C70380"/>
    <w:rsid w:val="088C3CD7"/>
    <w:rsid w:val="090D20E1"/>
    <w:rsid w:val="09140EF8"/>
    <w:rsid w:val="09403496"/>
    <w:rsid w:val="09527595"/>
    <w:rsid w:val="09573962"/>
    <w:rsid w:val="09B039F5"/>
    <w:rsid w:val="09E24F0E"/>
    <w:rsid w:val="0AAE37AA"/>
    <w:rsid w:val="0B5C3E34"/>
    <w:rsid w:val="0B6B22C9"/>
    <w:rsid w:val="0C607954"/>
    <w:rsid w:val="0D31181D"/>
    <w:rsid w:val="0D58687D"/>
    <w:rsid w:val="0E340C02"/>
    <w:rsid w:val="0E6108C9"/>
    <w:rsid w:val="0E98231D"/>
    <w:rsid w:val="0F6B6D3C"/>
    <w:rsid w:val="0F85069A"/>
    <w:rsid w:val="0FCB1589"/>
    <w:rsid w:val="10950A41"/>
    <w:rsid w:val="11036B00"/>
    <w:rsid w:val="117F4617"/>
    <w:rsid w:val="118063A3"/>
    <w:rsid w:val="121A0D60"/>
    <w:rsid w:val="124F0C8E"/>
    <w:rsid w:val="12556E1B"/>
    <w:rsid w:val="1309101A"/>
    <w:rsid w:val="13B34834"/>
    <w:rsid w:val="13C61F0C"/>
    <w:rsid w:val="13C63F70"/>
    <w:rsid w:val="149A777C"/>
    <w:rsid w:val="14C96C72"/>
    <w:rsid w:val="14DE1D5E"/>
    <w:rsid w:val="14E45932"/>
    <w:rsid w:val="15695ACC"/>
    <w:rsid w:val="15AF54A9"/>
    <w:rsid w:val="15B4486D"/>
    <w:rsid w:val="16390D83"/>
    <w:rsid w:val="16946B78"/>
    <w:rsid w:val="16C900E7"/>
    <w:rsid w:val="16F86815"/>
    <w:rsid w:val="18025C71"/>
    <w:rsid w:val="188E674A"/>
    <w:rsid w:val="189417DD"/>
    <w:rsid w:val="190E54CD"/>
    <w:rsid w:val="196F7429"/>
    <w:rsid w:val="198033E4"/>
    <w:rsid w:val="19FB26A5"/>
    <w:rsid w:val="1A3B555D"/>
    <w:rsid w:val="1AA8217E"/>
    <w:rsid w:val="1B4D2032"/>
    <w:rsid w:val="1B4F31BD"/>
    <w:rsid w:val="1BB43819"/>
    <w:rsid w:val="1BD870AB"/>
    <w:rsid w:val="1CAB53CD"/>
    <w:rsid w:val="1DE1641B"/>
    <w:rsid w:val="1E611908"/>
    <w:rsid w:val="1F38206B"/>
    <w:rsid w:val="1FFA4194"/>
    <w:rsid w:val="20541D41"/>
    <w:rsid w:val="20547378"/>
    <w:rsid w:val="20E216D5"/>
    <w:rsid w:val="218E53D3"/>
    <w:rsid w:val="22844ADB"/>
    <w:rsid w:val="22867BDE"/>
    <w:rsid w:val="23256C77"/>
    <w:rsid w:val="232A616E"/>
    <w:rsid w:val="24272673"/>
    <w:rsid w:val="244E05D7"/>
    <w:rsid w:val="248014F2"/>
    <w:rsid w:val="24F9143E"/>
    <w:rsid w:val="254C2D14"/>
    <w:rsid w:val="25894F3C"/>
    <w:rsid w:val="25F52A64"/>
    <w:rsid w:val="25FD55E5"/>
    <w:rsid w:val="260016F2"/>
    <w:rsid w:val="2604510F"/>
    <w:rsid w:val="26C01A21"/>
    <w:rsid w:val="270A16D7"/>
    <w:rsid w:val="277562B2"/>
    <w:rsid w:val="27AA04B7"/>
    <w:rsid w:val="28027E12"/>
    <w:rsid w:val="28E654AB"/>
    <w:rsid w:val="28FF2A70"/>
    <w:rsid w:val="29100043"/>
    <w:rsid w:val="2957175A"/>
    <w:rsid w:val="298F6165"/>
    <w:rsid w:val="2A3C699D"/>
    <w:rsid w:val="2A754494"/>
    <w:rsid w:val="2A863C68"/>
    <w:rsid w:val="2ACF157C"/>
    <w:rsid w:val="2BB46CEC"/>
    <w:rsid w:val="2BB92154"/>
    <w:rsid w:val="2C846852"/>
    <w:rsid w:val="2D066FCC"/>
    <w:rsid w:val="2D206302"/>
    <w:rsid w:val="2D7B629A"/>
    <w:rsid w:val="2E266F44"/>
    <w:rsid w:val="2E392284"/>
    <w:rsid w:val="2EDD23CF"/>
    <w:rsid w:val="2EF00BDB"/>
    <w:rsid w:val="2EF25131"/>
    <w:rsid w:val="2FF23827"/>
    <w:rsid w:val="30724A9E"/>
    <w:rsid w:val="30725F60"/>
    <w:rsid w:val="31021FA6"/>
    <w:rsid w:val="32C1314B"/>
    <w:rsid w:val="333F5707"/>
    <w:rsid w:val="335E1555"/>
    <w:rsid w:val="336806EE"/>
    <w:rsid w:val="340824FC"/>
    <w:rsid w:val="3421711A"/>
    <w:rsid w:val="344A48C2"/>
    <w:rsid w:val="345A6529"/>
    <w:rsid w:val="34690669"/>
    <w:rsid w:val="34A86D9B"/>
    <w:rsid w:val="34C957E7"/>
    <w:rsid w:val="34D128EE"/>
    <w:rsid w:val="34DF14AF"/>
    <w:rsid w:val="353C420B"/>
    <w:rsid w:val="35A9359A"/>
    <w:rsid w:val="36160449"/>
    <w:rsid w:val="3623764F"/>
    <w:rsid w:val="3856447D"/>
    <w:rsid w:val="38CD2F41"/>
    <w:rsid w:val="38CF5396"/>
    <w:rsid w:val="39047736"/>
    <w:rsid w:val="39146C6A"/>
    <w:rsid w:val="3A33108E"/>
    <w:rsid w:val="3A6335C6"/>
    <w:rsid w:val="3A8E7C27"/>
    <w:rsid w:val="3B2B20EA"/>
    <w:rsid w:val="3BDA30B4"/>
    <w:rsid w:val="3BDE6152"/>
    <w:rsid w:val="3C511A0B"/>
    <w:rsid w:val="3DA212CB"/>
    <w:rsid w:val="3EB639A2"/>
    <w:rsid w:val="3FBD2644"/>
    <w:rsid w:val="3FEF2D98"/>
    <w:rsid w:val="40BC08F6"/>
    <w:rsid w:val="411B32C4"/>
    <w:rsid w:val="415D07C1"/>
    <w:rsid w:val="41760AA5"/>
    <w:rsid w:val="424431FA"/>
    <w:rsid w:val="42A877EC"/>
    <w:rsid w:val="434B08C9"/>
    <w:rsid w:val="4381453F"/>
    <w:rsid w:val="43F3462F"/>
    <w:rsid w:val="44107880"/>
    <w:rsid w:val="44303DCF"/>
    <w:rsid w:val="44D5671B"/>
    <w:rsid w:val="4521789A"/>
    <w:rsid w:val="453C0257"/>
    <w:rsid w:val="45B65B79"/>
    <w:rsid w:val="46117AF9"/>
    <w:rsid w:val="46C219A5"/>
    <w:rsid w:val="46E8241D"/>
    <w:rsid w:val="472C44BD"/>
    <w:rsid w:val="478F3674"/>
    <w:rsid w:val="47AA55A1"/>
    <w:rsid w:val="47ED3A8B"/>
    <w:rsid w:val="48253225"/>
    <w:rsid w:val="48BC6FEC"/>
    <w:rsid w:val="49D767A1"/>
    <w:rsid w:val="4A13028D"/>
    <w:rsid w:val="4A5120AF"/>
    <w:rsid w:val="4A5B1180"/>
    <w:rsid w:val="4A686B70"/>
    <w:rsid w:val="4AB32B6C"/>
    <w:rsid w:val="4C5E625E"/>
    <w:rsid w:val="4D95656A"/>
    <w:rsid w:val="4DAA20AE"/>
    <w:rsid w:val="4DD40BFF"/>
    <w:rsid w:val="4E1E161A"/>
    <w:rsid w:val="4E682878"/>
    <w:rsid w:val="4E8678DE"/>
    <w:rsid w:val="4E9C49F3"/>
    <w:rsid w:val="4EA505CC"/>
    <w:rsid w:val="4FBF37E3"/>
    <w:rsid w:val="501B4E00"/>
    <w:rsid w:val="50C11611"/>
    <w:rsid w:val="50E42FD1"/>
    <w:rsid w:val="50EF2A55"/>
    <w:rsid w:val="529D3A39"/>
    <w:rsid w:val="52E644C9"/>
    <w:rsid w:val="53624F05"/>
    <w:rsid w:val="53B40EEE"/>
    <w:rsid w:val="53DC50DF"/>
    <w:rsid w:val="54196C13"/>
    <w:rsid w:val="54233274"/>
    <w:rsid w:val="542E2E3F"/>
    <w:rsid w:val="54691D09"/>
    <w:rsid w:val="54881246"/>
    <w:rsid w:val="54DB7F0E"/>
    <w:rsid w:val="54EA382C"/>
    <w:rsid w:val="5540169E"/>
    <w:rsid w:val="55D267E7"/>
    <w:rsid w:val="56B61F37"/>
    <w:rsid w:val="56BE0ACC"/>
    <w:rsid w:val="5727418B"/>
    <w:rsid w:val="57361328"/>
    <w:rsid w:val="57FD3D3F"/>
    <w:rsid w:val="581A6474"/>
    <w:rsid w:val="581E3716"/>
    <w:rsid w:val="58283B9F"/>
    <w:rsid w:val="58EA2849"/>
    <w:rsid w:val="5A39015A"/>
    <w:rsid w:val="5AA94575"/>
    <w:rsid w:val="5BCB4B58"/>
    <w:rsid w:val="5BD50DEC"/>
    <w:rsid w:val="5C6B687C"/>
    <w:rsid w:val="5CB46ED9"/>
    <w:rsid w:val="5D7850F3"/>
    <w:rsid w:val="5E0D59F3"/>
    <w:rsid w:val="5E166893"/>
    <w:rsid w:val="5F3A715E"/>
    <w:rsid w:val="5F9968FB"/>
    <w:rsid w:val="60113452"/>
    <w:rsid w:val="60D9475D"/>
    <w:rsid w:val="62035F2D"/>
    <w:rsid w:val="62856942"/>
    <w:rsid w:val="641D3661"/>
    <w:rsid w:val="64271DA1"/>
    <w:rsid w:val="64507DEC"/>
    <w:rsid w:val="648A2629"/>
    <w:rsid w:val="65213B10"/>
    <w:rsid w:val="65570653"/>
    <w:rsid w:val="656536F4"/>
    <w:rsid w:val="658E5B0E"/>
    <w:rsid w:val="65946136"/>
    <w:rsid w:val="65990238"/>
    <w:rsid w:val="65F95904"/>
    <w:rsid w:val="66001B05"/>
    <w:rsid w:val="66F835EA"/>
    <w:rsid w:val="67000C8D"/>
    <w:rsid w:val="678C07D3"/>
    <w:rsid w:val="67CC2426"/>
    <w:rsid w:val="67CE0D8B"/>
    <w:rsid w:val="68136366"/>
    <w:rsid w:val="68DA7210"/>
    <w:rsid w:val="69230C15"/>
    <w:rsid w:val="696C085C"/>
    <w:rsid w:val="69F1579A"/>
    <w:rsid w:val="6A5B317A"/>
    <w:rsid w:val="6A7C1DBF"/>
    <w:rsid w:val="6A837C0B"/>
    <w:rsid w:val="6B331379"/>
    <w:rsid w:val="6B454A59"/>
    <w:rsid w:val="6BE96194"/>
    <w:rsid w:val="6BEE0EFA"/>
    <w:rsid w:val="6C597D39"/>
    <w:rsid w:val="6C895281"/>
    <w:rsid w:val="6CD40BF2"/>
    <w:rsid w:val="6D5E2382"/>
    <w:rsid w:val="6D651F80"/>
    <w:rsid w:val="6DA61A82"/>
    <w:rsid w:val="6E7206C2"/>
    <w:rsid w:val="6E7941EC"/>
    <w:rsid w:val="706E7DD8"/>
    <w:rsid w:val="707029DF"/>
    <w:rsid w:val="710475CC"/>
    <w:rsid w:val="711E3936"/>
    <w:rsid w:val="713F5862"/>
    <w:rsid w:val="71C54FAD"/>
    <w:rsid w:val="731123E6"/>
    <w:rsid w:val="732051E5"/>
    <w:rsid w:val="74651580"/>
    <w:rsid w:val="74C74B98"/>
    <w:rsid w:val="74D20665"/>
    <w:rsid w:val="74DD616A"/>
    <w:rsid w:val="75556253"/>
    <w:rsid w:val="75744091"/>
    <w:rsid w:val="75B82733"/>
    <w:rsid w:val="7650480E"/>
    <w:rsid w:val="76D17F50"/>
    <w:rsid w:val="76FE267C"/>
    <w:rsid w:val="77595437"/>
    <w:rsid w:val="77700104"/>
    <w:rsid w:val="77871C16"/>
    <w:rsid w:val="778A207F"/>
    <w:rsid w:val="77F340D0"/>
    <w:rsid w:val="785E75C1"/>
    <w:rsid w:val="7A0A40C1"/>
    <w:rsid w:val="7A2D6FBC"/>
    <w:rsid w:val="7AC5235F"/>
    <w:rsid w:val="7B144B61"/>
    <w:rsid w:val="7B2152C7"/>
    <w:rsid w:val="7B2A14C6"/>
    <w:rsid w:val="7C181A1E"/>
    <w:rsid w:val="7CAC1243"/>
    <w:rsid w:val="7D7A0669"/>
    <w:rsid w:val="7EB72976"/>
    <w:rsid w:val="7F9F141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snapToGrid w:val="0"/>
      <w:ind w:firstLine="240" w:firstLineChars="100"/>
      <w:jc w:val="center"/>
    </w:pPr>
    <w:rPr>
      <w:rFonts w:ascii="仿宋" w:hAnsi="仿宋" w:eastAsia="仿宋" w:cs="仿宋"/>
      <w:kern w:val="2"/>
      <w:sz w:val="24"/>
      <w:szCs w:val="24"/>
      <w:lang w:val="en-US" w:eastAsia="zh-CN"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9"/>
    <w:autoRedefine/>
    <w:unhideWhenUsed/>
    <w:qFormat/>
    <w:uiPriority w:val="99"/>
    <w:pPr>
      <w:tabs>
        <w:tab w:val="center" w:pos="4153"/>
        <w:tab w:val="right" w:pos="8306"/>
      </w:tabs>
      <w:jc w:val="left"/>
    </w:pPr>
    <w:rPr>
      <w:sz w:val="18"/>
      <w:szCs w:val="18"/>
    </w:rPr>
  </w:style>
  <w:style w:type="paragraph" w:styleId="3">
    <w:name w:val="header"/>
    <w:basedOn w:val="1"/>
    <w:link w:val="8"/>
    <w:autoRedefine/>
    <w:unhideWhenUsed/>
    <w:qFormat/>
    <w:uiPriority w:val="99"/>
    <w:pPr>
      <w:pBdr>
        <w:bottom w:val="single" w:color="auto" w:sz="6" w:space="1"/>
      </w:pBdr>
      <w:tabs>
        <w:tab w:val="center" w:pos="4153"/>
        <w:tab w:val="right" w:pos="8306"/>
      </w:tabs>
    </w:pPr>
    <w:rPr>
      <w:sz w:val="18"/>
      <w:szCs w:val="18"/>
    </w:rPr>
  </w:style>
  <w:style w:type="paragraph" w:styleId="4">
    <w:name w:val="Normal (Web)"/>
    <w:basedOn w:val="1"/>
    <w:autoRedefine/>
    <w:unhideWhenUsed/>
    <w:qFormat/>
    <w:uiPriority w:val="99"/>
    <w:pPr>
      <w:widowControl/>
      <w:spacing w:line="360" w:lineRule="auto"/>
      <w:jc w:val="left"/>
    </w:pPr>
    <w:rPr>
      <w:kern w:val="0"/>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8">
    <w:name w:val="页眉 字符"/>
    <w:basedOn w:val="7"/>
    <w:link w:val="3"/>
    <w:autoRedefine/>
    <w:qFormat/>
    <w:uiPriority w:val="99"/>
    <w:rPr>
      <w:sz w:val="18"/>
      <w:szCs w:val="18"/>
    </w:rPr>
  </w:style>
  <w:style w:type="character" w:customStyle="1" w:styleId="9">
    <w:name w:val="页脚 字符"/>
    <w:basedOn w:val="7"/>
    <w:link w:val="2"/>
    <w:autoRedefine/>
    <w:qFormat/>
    <w:uiPriority w:val="99"/>
    <w:rPr>
      <w:sz w:val="18"/>
      <w:szCs w:val="18"/>
    </w:rPr>
  </w:style>
  <w:style w:type="character" w:customStyle="1" w:styleId="10">
    <w:name w:val="font11"/>
    <w:basedOn w:val="7"/>
    <w:autoRedefine/>
    <w:qFormat/>
    <w:uiPriority w:val="0"/>
    <w:rPr>
      <w:rFonts w:hint="eastAsia" w:ascii="仿宋" w:hAnsi="仿宋" w:eastAsia="仿宋" w:cs="仿宋"/>
      <w:color w:val="000000"/>
      <w:sz w:val="24"/>
      <w:szCs w:val="24"/>
      <w:u w:val="none"/>
    </w:rPr>
  </w:style>
  <w:style w:type="character" w:customStyle="1" w:styleId="11">
    <w:name w:val="font31"/>
    <w:basedOn w:val="7"/>
    <w:autoRedefine/>
    <w:qFormat/>
    <w:uiPriority w:val="0"/>
    <w:rPr>
      <w:rFonts w:hint="eastAsia" w:ascii="仿宋" w:hAnsi="仿宋" w:eastAsia="仿宋" w:cs="仿宋"/>
      <w:color w:val="FF0000"/>
      <w:sz w:val="40"/>
      <w:szCs w:val="40"/>
      <w:u w:val="none"/>
    </w:rPr>
  </w:style>
  <w:style w:type="character" w:customStyle="1" w:styleId="12">
    <w:name w:val="font41"/>
    <w:basedOn w:val="7"/>
    <w:autoRedefine/>
    <w:qFormat/>
    <w:uiPriority w:val="0"/>
    <w:rPr>
      <w:rFonts w:hint="eastAsia" w:ascii="仿宋" w:hAnsi="仿宋" w:eastAsia="仿宋" w:cs="仿宋"/>
      <w:color w:val="FF0000"/>
      <w:sz w:val="24"/>
      <w:szCs w:val="24"/>
      <w:u w:val="none"/>
    </w:rPr>
  </w:style>
  <w:style w:type="paragraph" w:styleId="13">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4</Pages>
  <Words>1821</Words>
  <Characters>2157</Characters>
  <Lines>8</Lines>
  <Paragraphs>2</Paragraphs>
  <TotalTime>142</TotalTime>
  <ScaleCrop>false</ScaleCrop>
  <LinksUpToDate>false</LinksUpToDate>
  <CharactersWithSpaces>2197</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2024-07-02T02:46:00Z</dcterms:created>
  <dc:creator>AutoBVT</dc:creator>
  <cp:lastModifiedBy>白卫国</cp:lastModifiedBy>
  <cp:lastPrinted>2025-11-19T08:53:18Z</cp:lastPrinted>
  <dcterms:modified xsi:type="dcterms:W3CDTF">2025-11-19T09:08:10Z</dcterms:modified>
  <cp:revision>25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8693495300B34E1A8CC1CEA40A1EEB87_13</vt:lpwstr>
  </property>
  <property fmtid="{D5CDD505-2E9C-101B-9397-08002B2CF9AE}" pid="4" name="KSOTemplateDocerSaveRecord">
    <vt:lpwstr>eyJoZGlkIjoiNTBmNDZlYzk4NDJhNmE1MTRmZGFlZTA4YzUwNGYzYjQiLCJ1c2VySWQiOiI3MTc1MDI2MjQifQ==</vt:lpwstr>
  </property>
</Properties>
</file>